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23B52E">
      <w:pPr>
        <w:pStyle w:val="2"/>
        <w:spacing w:before="0" w:line="276" w:lineRule="auto"/>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drawing>
          <wp:inline distT="0" distB="0" distL="0" distR="0">
            <wp:extent cx="914400" cy="714375"/>
            <wp:effectExtent l="19050" t="0" r="0" b="0"/>
            <wp:docPr id="1" name="Picture 1" descr="https://encrypted-tbn1.gstatic.com/images?q=tbn:ANd9GcS9CRWD7gDDLW1DwHBaaqKXNBo4t7NKYY3VUwqMrHgVobZeLODqePcqF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https://encrypted-tbn1.gstatic.com/images?q=tbn:ANd9GcS9CRWD7gDDLW1DwHBaaqKXNBo4t7NKYY3VUwqMrHgVobZeLODqePcqFg"/>
                    <pic:cNvPicPr>
                      <a:picLocks noChangeAspect="1" noChangeArrowheads="1"/>
                    </pic:cNvPicPr>
                  </pic:nvPicPr>
                  <pic:blipFill>
                    <a:blip r:embed="rId7" cstate="print"/>
                    <a:srcRect/>
                    <a:stretch>
                      <a:fillRect/>
                    </a:stretch>
                  </pic:blipFill>
                  <pic:spPr>
                    <a:xfrm>
                      <a:off x="0" y="0"/>
                      <a:ext cx="914400" cy="714375"/>
                    </a:xfrm>
                    <a:prstGeom prst="rect">
                      <a:avLst/>
                    </a:prstGeom>
                    <a:noFill/>
                    <a:ln w="9525">
                      <a:noFill/>
                      <a:miter lim="800000"/>
                      <a:headEnd/>
                      <a:tailEnd/>
                    </a:ln>
                  </pic:spPr>
                </pic:pic>
              </a:graphicData>
            </a:graphic>
          </wp:inline>
        </w:drawing>
      </w:r>
    </w:p>
    <w:p w14:paraId="61EA85EB">
      <w:pPr>
        <w:pStyle w:val="2"/>
        <w:spacing w:before="0" w:line="276" w:lineRule="auto"/>
        <w:ind w:left="48"/>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REPUBLIKA HRVATSKA </w:t>
      </w:r>
    </w:p>
    <w:p w14:paraId="7D206AE6">
      <w:pPr>
        <w:pStyle w:val="2"/>
        <w:spacing w:before="0" w:line="276" w:lineRule="auto"/>
        <w:ind w:left="48"/>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DJEČJI VRTIĆ GRLICA </w:t>
      </w:r>
    </w:p>
    <w:p w14:paraId="5FB1F449">
      <w:pPr>
        <w:pStyle w:val="2"/>
        <w:spacing w:before="0" w:line="276" w:lineRule="auto"/>
        <w:ind w:left="48"/>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BILJSKE SATNIJE ZNG RH 11A, BILJE </w:t>
      </w:r>
    </w:p>
    <w:p w14:paraId="48F58297">
      <w:pPr>
        <w:pStyle w:val="33"/>
        <w:spacing w:before="0" w:beforeAutospacing="0" w:after="0" w:afterAutospacing="0" w:line="276" w:lineRule="auto"/>
        <w:rPr>
          <w:color w:val="000000" w:themeColor="text1"/>
          <w14:textFill>
            <w14:solidFill>
              <w14:schemeClr w14:val="tx1"/>
            </w14:solidFill>
          </w14:textFill>
        </w:rPr>
      </w:pPr>
      <w:r>
        <w:rPr>
          <w:rStyle w:val="34"/>
          <w:b w:val="0"/>
          <w:bCs w:val="0"/>
          <w:color w:val="000000" w:themeColor="text1"/>
          <w14:textFill>
            <w14:solidFill>
              <w14:schemeClr w14:val="tx1"/>
            </w14:solidFill>
          </w14:textFill>
        </w:rPr>
        <w:t>UPRAVNO VIJEĆE</w:t>
      </w:r>
      <w:r>
        <w:rPr>
          <w:color w:val="000000" w:themeColor="text1"/>
          <w14:textFill>
            <w14:solidFill>
              <w14:schemeClr w14:val="tx1"/>
            </w14:solidFill>
          </w14:textFill>
        </w:rPr>
        <w:br w:type="textWrapping"/>
      </w:r>
      <w:r>
        <w:rPr>
          <w:color w:val="000000" w:themeColor="text1"/>
          <w14:textFill>
            <w14:solidFill>
              <w14:schemeClr w14:val="tx1"/>
            </w14:solidFill>
          </w14:textFill>
        </w:rPr>
        <w:t>KLASA:</w:t>
      </w:r>
      <w:r>
        <w:rPr>
          <w:rFonts w:hint="default"/>
          <w:color w:val="000000" w:themeColor="text1"/>
          <w:lang w:val="hr-HR"/>
          <w14:textFill>
            <w14:solidFill>
              <w14:schemeClr w14:val="tx1"/>
            </w14:solidFill>
          </w14:textFill>
        </w:rPr>
        <w:t xml:space="preserve"> 601-02/26-01/84</w:t>
      </w:r>
      <w:r>
        <w:rPr>
          <w:color w:val="000000" w:themeColor="text1"/>
          <w14:textFill>
            <w14:solidFill>
              <w14:schemeClr w14:val="tx1"/>
            </w14:solidFill>
          </w14:textFill>
        </w:rPr>
        <w:br w:type="textWrapping"/>
      </w:r>
      <w:r>
        <w:rPr>
          <w:color w:val="000000" w:themeColor="text1"/>
          <w14:textFill>
            <w14:solidFill>
              <w14:schemeClr w14:val="tx1"/>
            </w14:solidFill>
          </w14:textFill>
        </w:rPr>
        <w:t>UR</w:t>
      </w:r>
      <w:r>
        <w:rPr>
          <w:rFonts w:hint="default"/>
          <w:color w:val="000000" w:themeColor="text1"/>
          <w:lang w:val="hr-HR"/>
          <w14:textFill>
            <w14:solidFill>
              <w14:schemeClr w14:val="tx1"/>
            </w14:solidFill>
          </w14:textFill>
        </w:rPr>
        <w:t>.</w:t>
      </w:r>
      <w:r>
        <w:rPr>
          <w:color w:val="000000" w:themeColor="text1"/>
          <w14:textFill>
            <w14:solidFill>
              <w14:schemeClr w14:val="tx1"/>
            </w14:solidFill>
          </w14:textFill>
        </w:rPr>
        <w:t>BROJ:</w:t>
      </w:r>
      <w:r>
        <w:rPr>
          <w:rFonts w:hint="default"/>
          <w:color w:val="000000" w:themeColor="text1"/>
          <w:lang w:val="hr-HR"/>
          <w14:textFill>
            <w14:solidFill>
              <w14:schemeClr w14:val="tx1"/>
            </w14:solidFill>
          </w14:textFill>
        </w:rPr>
        <w:t xml:space="preserve"> 2100-28-04-26-02</w:t>
      </w:r>
      <w:r>
        <w:rPr>
          <w:color w:val="000000" w:themeColor="text1"/>
          <w14:textFill>
            <w14:solidFill>
              <w14:schemeClr w14:val="tx1"/>
            </w14:solidFill>
          </w14:textFill>
        </w:rPr>
        <w:br w:type="textWrapping"/>
      </w:r>
      <w:r>
        <w:rPr>
          <w:color w:val="000000" w:themeColor="text1"/>
          <w14:textFill>
            <w14:solidFill>
              <w14:schemeClr w14:val="tx1"/>
            </w14:solidFill>
          </w14:textFill>
        </w:rPr>
        <w:t>Bilje, 30. rujna 2026. godine</w:t>
      </w:r>
    </w:p>
    <w:p w14:paraId="496C11EA">
      <w:pPr>
        <w:pStyle w:val="33"/>
        <w:spacing w:before="0" w:beforeAutospacing="0" w:after="0" w:afterAutospacing="0" w:line="276" w:lineRule="auto"/>
        <w:rPr>
          <w:color w:val="000000" w:themeColor="text1"/>
          <w14:textFill>
            <w14:solidFill>
              <w14:schemeClr w14:val="tx1"/>
            </w14:solidFill>
          </w14:textFill>
        </w:rPr>
      </w:pPr>
    </w:p>
    <w:p w14:paraId="1140390B">
      <w:pPr>
        <w:spacing w:after="200"/>
        <w:jc w:val="both"/>
      </w:pPr>
      <w:r>
        <w:rPr>
          <w:rFonts w:eastAsia="Times New Roman"/>
          <w:lang w:val="hr-HR"/>
        </w:rPr>
        <w:t>Na temelju članka 15. stavka 2. Zakona o javnoj nabavi ("Narodne novine", broj 120/16, 114/22 i 48/26), članka 29. stavka 2. i članka 127. Statuta Dječjeg vrtića Grlica, Upravno vijeće Dječjeg vrtića Grlica na svojoj 84. sjednici održanoj dana 30. rujna 2026. godine donosi</w:t>
      </w:r>
    </w:p>
    <w:p w14:paraId="67D91F67">
      <w:pPr>
        <w:jc w:val="center"/>
      </w:pPr>
    </w:p>
    <w:p w14:paraId="0F96AC68">
      <w:pPr>
        <w:spacing w:after="0"/>
        <w:jc w:val="center"/>
      </w:pPr>
      <w:r>
        <w:rPr>
          <w:rFonts w:eastAsia="Times New Roman"/>
          <w:b/>
          <w:sz w:val="28"/>
          <w:lang w:val="hr-HR"/>
        </w:rPr>
        <w:t>PRAVILNIK</w:t>
      </w:r>
    </w:p>
    <w:p w14:paraId="2260BA2B">
      <w:pPr>
        <w:spacing w:after="200"/>
        <w:jc w:val="center"/>
      </w:pPr>
      <w:r>
        <w:rPr>
          <w:rFonts w:eastAsia="Times New Roman"/>
          <w:b/>
          <w:sz w:val="28"/>
          <w:lang w:val="hr-HR"/>
        </w:rPr>
        <w:t>o jednostavnoj nabavi</w:t>
      </w:r>
    </w:p>
    <w:p w14:paraId="73D2D9C9">
      <w:pPr>
        <w:keepNext/>
        <w:spacing w:before="220" w:after="100"/>
      </w:pPr>
      <w:r>
        <w:rPr>
          <w:rFonts w:eastAsia="Times New Roman"/>
          <w:b/>
          <w:lang w:val="hr-HR"/>
        </w:rPr>
        <w:t>I. OPĆE ODREDBE</w:t>
      </w:r>
    </w:p>
    <w:p w14:paraId="7AF9EFDF">
      <w:pPr>
        <w:keepNext/>
        <w:spacing w:before="160"/>
        <w:jc w:val="center"/>
      </w:pPr>
      <w:r>
        <w:rPr>
          <w:rFonts w:eastAsia="Times New Roman"/>
          <w:b/>
          <w:lang w:val="hr-HR"/>
        </w:rPr>
        <w:t>Članak 1.</w:t>
      </w:r>
    </w:p>
    <w:p w14:paraId="617447F4">
      <w:pPr>
        <w:jc w:val="both"/>
      </w:pPr>
      <w:r>
        <w:rPr>
          <w:rFonts w:eastAsia="Times New Roman"/>
          <w:lang w:val="hr-HR"/>
        </w:rPr>
        <w:t>Ovim Pravilnikom uređuju se pravila, uvjeti i postupci nabave roba, usluga i radova za potrebe Dječjeg vrtića Grlica, Bilje (u daljnjem tekstu: Vrtić), čija je procijenjena vrijednost manja od 50.000,00 eura bez PDV-a za robu i usluge, odnosno manja od 100.000,00 eura bez PDV-a za radove (u daljnjem tekstu: jednostavna nabava).</w:t>
      </w:r>
    </w:p>
    <w:p w14:paraId="44F944EA">
      <w:pPr>
        <w:keepNext/>
        <w:spacing w:before="160"/>
        <w:jc w:val="center"/>
      </w:pPr>
      <w:r>
        <w:rPr>
          <w:rFonts w:eastAsia="Times New Roman"/>
          <w:b/>
          <w:lang w:val="hr-HR"/>
        </w:rPr>
        <w:t>Članak 2.</w:t>
      </w:r>
    </w:p>
    <w:p w14:paraId="29D5A6B7">
      <w:pPr>
        <w:jc w:val="both"/>
      </w:pPr>
      <w:r>
        <w:rPr>
          <w:rFonts w:eastAsia="Times New Roman"/>
          <w:lang w:val="hr-HR"/>
        </w:rPr>
        <w:t>Prilikom provođenja postupaka jednostavne nabave Vrtić je obvezan poštovati načelo slobode kretanja robe, načelo slobode poslovnog nastana i načelo slobode pružanja usluga te načela koja iz njih proizlaze, osobito načelo tržišnog natjecanja, načelo jednakog tretmana, načelo zabrane diskriminacije, načelo uzajamnog priznavanja, načelo razmjernosti i načelo transparentnosti, sukladno Zakonu o javnoj nabavi.</w:t>
      </w:r>
    </w:p>
    <w:p w14:paraId="04698EEE">
      <w:pPr>
        <w:keepNext/>
        <w:spacing w:before="160"/>
        <w:jc w:val="center"/>
      </w:pPr>
      <w:r>
        <w:rPr>
          <w:rFonts w:eastAsia="Times New Roman"/>
          <w:b/>
          <w:lang w:val="hr-HR"/>
        </w:rPr>
        <w:t>Članak 3.</w:t>
      </w:r>
    </w:p>
    <w:p w14:paraId="609CE8C5">
      <w:pPr>
        <w:jc w:val="both"/>
      </w:pPr>
      <w:r>
        <w:rPr>
          <w:rFonts w:eastAsia="Times New Roman"/>
          <w:lang w:val="hr-HR"/>
        </w:rPr>
        <w:t>1) U provedbi postupaka jednostavne nabave mogu se koristiti elektronička sredstva komunikacije, sredstva koja nisu elektronička te njihova kombinacija, kada je to dopušteno ovim Pravilnikom i Zakonom o javnoj nabavi.</w:t>
      </w:r>
    </w:p>
    <w:p w14:paraId="7E9AC320">
      <w:pPr>
        <w:jc w:val="both"/>
      </w:pPr>
      <w:r>
        <w:rPr>
          <w:rFonts w:eastAsia="Times New Roman"/>
          <w:lang w:val="hr-HR"/>
        </w:rPr>
        <w:t>2) Elektroničkim sredstvima komunikacije, u smislu ovoga Pravilnika, smatraju se Elektronički oglasnik javne nabave Republike Hrvatske (u daljnjem tekstu: EOJN RH), modul jednostavne nabave i službena elektronička pošta Vrtića.</w:t>
      </w:r>
    </w:p>
    <w:p w14:paraId="123CA29B">
      <w:pPr>
        <w:jc w:val="both"/>
      </w:pPr>
      <w:r>
        <w:rPr>
          <w:rFonts w:eastAsia="Times New Roman"/>
          <w:lang w:val="hr-HR"/>
        </w:rPr>
        <w:t>3) Postupci jednostavne nabave čija je procijenjena vrijednost veća od 15.000,00 eura provode se putem modula jednostavne nabave u EOJN RH, u skladu s člankom 9. ovoga Pravilnika.</w:t>
      </w:r>
    </w:p>
    <w:p w14:paraId="3B36D113">
      <w:pPr>
        <w:keepNext/>
        <w:spacing w:before="220" w:after="100"/>
      </w:pPr>
      <w:r>
        <w:rPr>
          <w:rFonts w:eastAsia="Times New Roman"/>
          <w:b/>
          <w:lang w:val="hr-HR"/>
        </w:rPr>
        <w:t>II. PLAN NABAVE I AKTIVNOSTI KOJE PRETHODE POKRETANJU POSTUPKA JEDNOSTAVNE NABAVE</w:t>
      </w:r>
    </w:p>
    <w:p w14:paraId="40FFABA8">
      <w:pPr>
        <w:keepNext/>
        <w:spacing w:before="160"/>
        <w:jc w:val="center"/>
      </w:pPr>
      <w:r>
        <w:rPr>
          <w:rFonts w:eastAsia="Times New Roman"/>
          <w:b/>
          <w:lang w:val="hr-HR"/>
        </w:rPr>
        <w:t>Članak 4.</w:t>
      </w:r>
    </w:p>
    <w:p w14:paraId="2B691922">
      <w:pPr>
        <w:jc w:val="both"/>
      </w:pPr>
      <w:r>
        <w:rPr>
          <w:rFonts w:eastAsia="Times New Roman"/>
          <w:lang w:val="hr-HR"/>
        </w:rPr>
        <w:t>1) Ravnateljica Vrtića za svaku kalendarsku godinu donosi plan nabave koji sadrži podatke propisane važećim propisima iz područja javne nabave.</w:t>
      </w:r>
    </w:p>
    <w:p w14:paraId="79F603AA">
      <w:pPr>
        <w:jc w:val="both"/>
      </w:pPr>
      <w:r>
        <w:rPr>
          <w:rFonts w:eastAsia="Times New Roman"/>
          <w:lang w:val="hr-HR"/>
        </w:rPr>
        <w:t>2) U plan nabave unose se predmeti nabave čija je procijenjena vrijednost jednaka ili veća od 5.000,00 eura bez PDV-a, a u registar ugovora unose se ugovori i/ili narudžbenice čija je vrijednost jednaka ili veća od 5.000,00 eura bez PDV-a, u skladu sa Zakonom o javnoj nabavi i podzakonskim propisima.</w:t>
      </w:r>
    </w:p>
    <w:p w14:paraId="6DF79A8C">
      <w:pPr>
        <w:jc w:val="both"/>
      </w:pPr>
      <w:r>
        <w:rPr>
          <w:rFonts w:eastAsia="Times New Roman"/>
          <w:lang w:val="hr-HR"/>
        </w:rPr>
        <w:t>3) U registru ugovora i okvirnih sporazuma navode se i svi predmeti nabave za koje je Vrtić sklopio ugovore ili okvirne sporazume na temelju izuzeća od primjene Zakona o javnoj nabavi propisanih člancima 33. i 34. Zakona o javnoj nabavi, uz obrazloženje razloga za izuzeće.</w:t>
      </w:r>
    </w:p>
    <w:p w14:paraId="4EF0EE8F">
      <w:pPr>
        <w:jc w:val="both"/>
      </w:pPr>
      <w:r>
        <w:rPr>
          <w:rFonts w:eastAsia="Times New Roman"/>
          <w:lang w:val="hr-HR"/>
        </w:rPr>
        <w:t>4) Postupke jednostavne nabave organizira i provodi ravnateljica Vrtića, radnik Vrtića kojeg ravnateljica ovlasti i/ili stručno povjerenstvo za pripremu i provedbu postupka jednostavne nabave (u daljnjem tekstu: stručno povjerenstvo), sukladno ovome Pravilniku.</w:t>
      </w:r>
    </w:p>
    <w:p w14:paraId="0BFCCDFA">
      <w:pPr>
        <w:jc w:val="both"/>
      </w:pPr>
      <w:r>
        <w:rPr>
          <w:rFonts w:eastAsia="Times New Roman"/>
          <w:lang w:val="hr-HR"/>
        </w:rPr>
        <w:t>5) Osoba koja predlaže pokretanje postupka jednostavne nabave dužna je osigurati najmanje podatke o predmetu nabave, količini i procijenjenoj vrijednosti nabave te provjeriti usklađenost nabave s financijskim planom i planom nabave Vrtića.</w:t>
      </w:r>
    </w:p>
    <w:p w14:paraId="7C76A41E">
      <w:pPr>
        <w:jc w:val="both"/>
      </w:pPr>
      <w:r>
        <w:rPr>
          <w:rFonts w:eastAsia="Times New Roman"/>
          <w:lang w:val="hr-HR"/>
        </w:rPr>
        <w:t>6) Za nabave procijenjene vrijednosti veće od 15.000,00 eura priprema se prijedlog odluke o imenovanju stručnog povjerenstva i dostavlja ravnateljici na donošenje.</w:t>
      </w:r>
    </w:p>
    <w:p w14:paraId="6E830ADB">
      <w:pPr>
        <w:keepNext/>
        <w:spacing w:before="220" w:after="100"/>
      </w:pPr>
      <w:r>
        <w:rPr>
          <w:rFonts w:eastAsia="Times New Roman"/>
          <w:b/>
          <w:lang w:val="hr-HR"/>
        </w:rPr>
        <w:t>III. SUKOB INTERESA</w:t>
      </w:r>
    </w:p>
    <w:p w14:paraId="34446C6B">
      <w:pPr>
        <w:keepNext/>
        <w:spacing w:before="160"/>
        <w:jc w:val="center"/>
      </w:pPr>
      <w:r>
        <w:rPr>
          <w:rFonts w:eastAsia="Times New Roman"/>
          <w:b/>
          <w:lang w:val="hr-HR"/>
        </w:rPr>
        <w:t>Članak 5.</w:t>
      </w:r>
    </w:p>
    <w:p w14:paraId="40001E43">
      <w:pPr>
        <w:jc w:val="both"/>
      </w:pPr>
      <w:r>
        <w:rPr>
          <w:rFonts w:eastAsia="Times New Roman"/>
          <w:lang w:val="hr-HR"/>
        </w:rPr>
        <w:t>1) Vrtić je obvezan poduzeti prikladne mjere kojima se učinkovito sprječavaju, prepoznaju i uklanjaju sukobi interesa u vezi s postupcima jednostavne nabave, radi izbjegavanja narušavanja tržišnog natjecanja i osiguranja jednakog postupanja prema svim gospodarskim subjektima.</w:t>
      </w:r>
    </w:p>
    <w:p w14:paraId="5F95BE90">
      <w:pPr>
        <w:jc w:val="both"/>
      </w:pPr>
      <w:r>
        <w:rPr>
          <w:rFonts w:eastAsia="Times New Roman"/>
          <w:lang w:val="hr-HR"/>
        </w:rPr>
        <w:t>2) Odredbe o sukobu interesa iz članaka 75. do 83. Zakona o javnoj nabavi na odgovarajući se način primjenjuju na postupke jednostavne nabave koji se provode temeljem ovoga Pravilnika.</w:t>
      </w:r>
    </w:p>
    <w:p w14:paraId="0EBC8C6E">
      <w:pPr>
        <w:keepNext/>
        <w:spacing w:before="220" w:after="100"/>
      </w:pPr>
      <w:r>
        <w:rPr>
          <w:rFonts w:eastAsia="Times New Roman"/>
          <w:b/>
          <w:lang w:val="hr-HR"/>
        </w:rPr>
        <w:t>IV. POKRETANJE I PROVEDBA POSTUPKA JEDNOSTAVNE NABAVE</w:t>
      </w:r>
    </w:p>
    <w:p w14:paraId="726423EF">
      <w:pPr>
        <w:keepNext/>
        <w:spacing w:before="160"/>
        <w:jc w:val="center"/>
      </w:pPr>
      <w:r>
        <w:rPr>
          <w:rFonts w:eastAsia="Times New Roman"/>
          <w:b/>
          <w:lang w:val="hr-HR"/>
        </w:rPr>
        <w:t>Članak 6.</w:t>
      </w:r>
    </w:p>
    <w:p w14:paraId="06C38F13">
      <w:pPr>
        <w:jc w:val="both"/>
      </w:pPr>
      <w:r>
        <w:rPr>
          <w:rFonts w:eastAsia="Times New Roman"/>
          <w:lang w:val="hr-HR"/>
        </w:rPr>
        <w:t>1) Postupak jednostavne nabave procijenjene vrijednosti veće od 15.000,00 eura pokreće se odlukom ravnateljice o imenovanju stručnog povjerenstva za pripremu i provedbu postupka jednostavne nabave.</w:t>
      </w:r>
    </w:p>
    <w:p w14:paraId="17547A23">
      <w:pPr>
        <w:jc w:val="both"/>
      </w:pPr>
      <w:r>
        <w:rPr>
          <w:rFonts w:eastAsia="Times New Roman"/>
          <w:lang w:val="hr-HR"/>
        </w:rPr>
        <w:t>2) Iznimno od stavka 1. ovoga članka, za nabavu robe, radova i usluga procijenjene vrijednosti jednake ili manje od 15.000,00 eura postupak se ne mora pokretati posebnom odlukom, već se može zatražiti ponuda jednog ili više gospodarskih subjekata te, na temelju prihvatljive ponude, prihvatiti ponuda, izdati narudžbenica ili sklopiti ugovor.</w:t>
      </w:r>
    </w:p>
    <w:p w14:paraId="1EDE46F7">
      <w:pPr>
        <w:jc w:val="both"/>
      </w:pPr>
      <w:r>
        <w:rPr>
          <w:rFonts w:eastAsia="Times New Roman"/>
          <w:lang w:val="hr-HR"/>
        </w:rPr>
        <w:t>3) Ravnateljica u stručno povjerenstvo imenuje najmanje dvije osobe. Član stručnog povjerenstva može, prema potrebi, biti i osoba izvan Vrtića koja raspolaže stručnim znanjima potrebnima za predmet nabave.</w:t>
      </w:r>
    </w:p>
    <w:p w14:paraId="505538B0">
      <w:pPr>
        <w:jc w:val="both"/>
      </w:pPr>
      <w:r>
        <w:rPr>
          <w:rFonts w:eastAsia="Times New Roman"/>
          <w:lang w:val="hr-HR"/>
        </w:rPr>
        <w:t>4) Odlukom iz stavka 1. ovoga članka mogu se odrediti zaduženja pojedinih članova stručnog povjerenstva za pripremu dokumentacije, provedbu postupka, pregled i ocjenu ponuda te praćenje izvršenja ugovora.</w:t>
      </w:r>
    </w:p>
    <w:p w14:paraId="706C924C">
      <w:pPr>
        <w:jc w:val="both"/>
      </w:pPr>
      <w:r>
        <w:rPr>
          <w:rFonts w:eastAsia="Times New Roman"/>
          <w:lang w:val="hr-HR"/>
        </w:rPr>
        <w:t>5) Odluka iz stavka 1. ovoga članka sadrži najmanje podatke o predmetu nabave, procijenjenoj vrijednosti nabave, količini ili opsegu predmeta nabave, izvoru odnosno poziciji financiranja te osobama imenovanima u stručno povjerenstvo.</w:t>
      </w:r>
    </w:p>
    <w:p w14:paraId="10357010">
      <w:pPr>
        <w:keepNext/>
        <w:spacing w:before="160"/>
        <w:jc w:val="center"/>
      </w:pPr>
      <w:r>
        <w:rPr>
          <w:rFonts w:eastAsia="Times New Roman"/>
          <w:b/>
          <w:lang w:val="hr-HR"/>
        </w:rPr>
        <w:t>Članak 7.</w:t>
      </w:r>
    </w:p>
    <w:p w14:paraId="6D18D26D">
      <w:pPr>
        <w:jc w:val="both"/>
      </w:pPr>
      <w:r>
        <w:rPr>
          <w:rFonts w:eastAsia="Times New Roman"/>
          <w:lang w:val="hr-HR"/>
        </w:rPr>
        <w:t>Stručno povjerenstvo dužno je pripremiti i provesti postupak jednostavne nabave, sastaviti poziv na dostavu ponuda, provesti komunikaciju s gospodarskim subjektima, pregledati i ocijeniti zaprimljene ponude te ravnateljici predložiti odabir ponude ili poništenje postupka, za nabave procijenjene vrijednosti veće od 15.000,00 eura, a manje od 50.000,00 eura za robu i usluge, odnosno manje od 100.000,00 eura za radove.</w:t>
      </w:r>
    </w:p>
    <w:p w14:paraId="6C4D9DC6">
      <w:pPr>
        <w:keepNext/>
        <w:spacing w:before="220" w:after="100"/>
      </w:pPr>
      <w:r>
        <w:rPr>
          <w:rFonts w:eastAsia="Times New Roman"/>
          <w:b/>
          <w:lang w:val="hr-HR"/>
        </w:rPr>
        <w:t>V. PREDMET NABAVE I PROCIJENJENA VRIJEDNOST</w:t>
      </w:r>
    </w:p>
    <w:p w14:paraId="78AAB0A2">
      <w:pPr>
        <w:keepNext/>
        <w:spacing w:before="160"/>
        <w:jc w:val="center"/>
      </w:pPr>
      <w:r>
        <w:rPr>
          <w:rFonts w:eastAsia="Times New Roman"/>
          <w:b/>
          <w:lang w:val="hr-HR"/>
        </w:rPr>
        <w:t>Članak 8.</w:t>
      </w:r>
    </w:p>
    <w:p w14:paraId="474732DC">
      <w:pPr>
        <w:jc w:val="both"/>
      </w:pPr>
      <w:r>
        <w:rPr>
          <w:rFonts w:eastAsia="Times New Roman"/>
          <w:lang w:val="hr-HR"/>
        </w:rPr>
        <w:t>1) Predmet nabave mora se opisati jasno, nedvojbeno, potpuno i neutralno, na način koji omogućuje usporedivost ponuda u pogledu postavljenih uvjeta i zahtjeva te ne pogoduje određenom gospodarskom subjektu, proizvodu ili izvoru nabave, osim kada je to objektivno opravdano i dopušteno propisima.</w:t>
      </w:r>
    </w:p>
    <w:p w14:paraId="1176ED14">
      <w:pPr>
        <w:jc w:val="both"/>
      </w:pPr>
      <w:r>
        <w:rPr>
          <w:rFonts w:eastAsia="Times New Roman"/>
          <w:lang w:val="hr-HR"/>
        </w:rPr>
        <w:t>2) Predmet nabave određuje se na način da predstavlja tehničku, tehnološku, oblikovnu, funkcionalnu ili drugu objektivno odredivu cjelinu.</w:t>
      </w:r>
    </w:p>
    <w:p w14:paraId="1A71D2DD">
      <w:pPr>
        <w:jc w:val="both"/>
      </w:pPr>
      <w:r>
        <w:rPr>
          <w:rFonts w:eastAsia="Times New Roman"/>
          <w:lang w:val="hr-HR"/>
        </w:rPr>
        <w:t>3) Procijenjena vrijednost nabave mora biti određena u trenutku početka postupka jednostavne nabave. Izračunavanje procijenjene vrijednosti temelji se na ukupnom iznosu bez PDV-a, uključujući sve opcije i moguća obnavljanja ugovora.</w:t>
      </w:r>
    </w:p>
    <w:p w14:paraId="1BB31D69">
      <w:pPr>
        <w:jc w:val="both"/>
      </w:pPr>
      <w:r>
        <w:rPr>
          <w:rFonts w:eastAsia="Times New Roman"/>
          <w:lang w:val="hr-HR"/>
        </w:rPr>
        <w:t>4) Nije dopušteno dijeliti predmet nabave niti određivati procijenjenu vrijednost s namjerom izbjegavanja primjene Zakona o javnoj nabavi ili primjene strožih pravila postupanja propisanih ovim Pravilnikom.</w:t>
      </w:r>
    </w:p>
    <w:p w14:paraId="417C16AB">
      <w:pPr>
        <w:keepNext/>
        <w:spacing w:before="220" w:after="100"/>
      </w:pPr>
      <w:r>
        <w:rPr>
          <w:rFonts w:eastAsia="Times New Roman"/>
          <w:b/>
          <w:lang w:val="hr-HR"/>
        </w:rPr>
        <w:t>VI. POSTUPCI NABAVE PREMA PROCIJENJENOJ VRIJEDNOSTI</w:t>
      </w:r>
    </w:p>
    <w:p w14:paraId="507E6993">
      <w:pPr>
        <w:keepNext/>
        <w:spacing w:before="160"/>
        <w:jc w:val="center"/>
      </w:pPr>
      <w:r>
        <w:rPr>
          <w:rFonts w:eastAsia="Times New Roman"/>
          <w:b/>
          <w:lang w:val="hr-HR"/>
        </w:rPr>
        <w:t>Članak 9.</w:t>
      </w:r>
    </w:p>
    <w:p w14:paraId="1CA502DF">
      <w:pPr>
        <w:jc w:val="both"/>
      </w:pPr>
      <w:r>
        <w:rPr>
          <w:rFonts w:eastAsia="Times New Roman"/>
          <w:lang w:val="hr-HR"/>
        </w:rPr>
        <w:t>1) Za nabavu roba, radova i usluga procijenjene vrijednosti jednake ili manje od 15.000,00 eura bez PDV-a može se zatražiti ponuda jednog ili više gospodarskih subjekata. Ponuda se može zatražiti usmeno, elektroničkom poštom, putem mrežnih stranica ili na drugi prikladan način koji omogućuje ekonomično i učinkovito provođenje nabave, uz osiguranje odgovarajućeg pisanog traga o preuzetoj obvezi.</w:t>
      </w:r>
    </w:p>
    <w:p w14:paraId="016BF005">
      <w:pPr>
        <w:jc w:val="both"/>
      </w:pPr>
      <w:r>
        <w:rPr>
          <w:rFonts w:eastAsia="Times New Roman"/>
          <w:lang w:val="hr-HR"/>
        </w:rPr>
        <w:t>2) Za nabavu roba, radova i usluga čija je procijenjena vrijednost veća od 15.000,00 eura Vrtić odabire jednog ili više gospodarskih subjekata kojima upućuje poziv na dostavu ponuda putem modula jednostavne nabave u EOJN RH.</w:t>
      </w:r>
    </w:p>
    <w:p w14:paraId="24E39C7A">
      <w:pPr>
        <w:jc w:val="both"/>
      </w:pPr>
      <w:r>
        <w:rPr>
          <w:rFonts w:eastAsia="Times New Roman"/>
          <w:lang w:val="hr-HR"/>
        </w:rPr>
        <w:t>3) Za nabavu robe i usluga čija je procijenjena vrijednost veća od 25.000,00 eura te za nabavu radova čija je procijenjena vrijednost veća od 45.000,00 eura Vrtić je obvezan javno objaviti poziv na dostavu ponuda putem javne objave u modulu jednostavne nabave EOJN RH, tako da svaki zainteresirani gospodarski subjekt može predati ponudu.</w:t>
      </w:r>
    </w:p>
    <w:p w14:paraId="4AF6B1B0">
      <w:pPr>
        <w:jc w:val="both"/>
      </w:pPr>
      <w:r>
        <w:rPr>
          <w:rFonts w:eastAsia="Times New Roman"/>
          <w:lang w:val="hr-HR"/>
        </w:rPr>
        <w:t>4) Iznimno od stavka 3. ovoga članka, Vrtić nije obvezan provesti postupak jednostavne nabave putem javne objave u modulu jednostavne nabave, već ga provodi sukladno stavku 2. ovoga članka:</w:t>
      </w:r>
    </w:p>
    <w:p w14:paraId="750B8935">
      <w:r>
        <w:rPr>
          <w:rFonts w:eastAsia="Times New Roman"/>
          <w:lang w:val="hr-HR"/>
        </w:rPr>
        <w:t>a) ako u prethodno provedenom postupku jednostavne nabave nije podnesena nijedna ponuda ili nijedna valjana ponuda, pod uvjetom da početni ugovorni uvjeti nisu bitno izmijenjeni;</w:t>
      </w:r>
    </w:p>
    <w:p w14:paraId="569BBDCC">
      <w:r>
        <w:rPr>
          <w:rFonts w:eastAsia="Times New Roman"/>
          <w:lang w:val="hr-HR"/>
        </w:rPr>
        <w:t>b) ako zbog objektivnih razloga predmet nabave može izvršiti, isporučiti ili pružiti samo određeni gospodarski subjekt, i to:</w:t>
      </w:r>
    </w:p>
    <w:p w14:paraId="2FCD2B94">
      <w:r>
        <w:rPr>
          <w:rFonts w:eastAsia="Times New Roman"/>
          <w:lang w:val="hr-HR"/>
        </w:rPr>
        <w:t xml:space="preserve">   1. ako je predmet nabave stvaranje ili stjecanje jedinstvenog umjetničkog djela ili umjetničke izvedbe;</w:t>
      </w:r>
    </w:p>
    <w:p w14:paraId="6D0D98E4">
      <w:r>
        <w:rPr>
          <w:rFonts w:eastAsia="Times New Roman"/>
          <w:lang w:val="hr-HR"/>
        </w:rPr>
        <w:t xml:space="preserve">   2. ako iz tehničkih razloga predmet nabave može isporučiti samo određeni gospodarski subjekt; ili</w:t>
      </w:r>
    </w:p>
    <w:p w14:paraId="3DAF51A6">
      <w:r>
        <w:rPr>
          <w:rFonts w:eastAsia="Times New Roman"/>
          <w:lang w:val="hr-HR"/>
        </w:rPr>
        <w:t xml:space="preserve">   3. ako je to nužno radi zaštite isključivih prava, uključujući prava intelektualnog vlasništva;</w:t>
      </w:r>
    </w:p>
    <w:p w14:paraId="09DC19A9">
      <w:r>
        <w:rPr>
          <w:rFonts w:eastAsia="Times New Roman"/>
          <w:lang w:val="hr-HR"/>
        </w:rPr>
        <w:t>c) ako postoji iznimna žurnost uzrokovana događajima koje Vrtić nije mogao predvidjeti niti na njih utjecati.</w:t>
      </w:r>
    </w:p>
    <w:p w14:paraId="5BD11F64">
      <w:pPr>
        <w:jc w:val="both"/>
      </w:pPr>
      <w:r>
        <w:rPr>
          <w:rFonts w:eastAsia="Times New Roman"/>
          <w:lang w:val="hr-HR"/>
        </w:rPr>
        <w:t>5) Razlozi za primjenu iznimke iz stavka 4. ovoga članka moraju se navesti i obrazložiti u modulu jednostavne nabave EOJN RH.</w:t>
      </w:r>
    </w:p>
    <w:p w14:paraId="00AE259C">
      <w:pPr>
        <w:jc w:val="both"/>
      </w:pPr>
      <w:r>
        <w:rPr>
          <w:rFonts w:eastAsia="Times New Roman"/>
          <w:lang w:val="hr-HR"/>
        </w:rPr>
        <w:t>6) Poziv na dostavu ponuda može se, uz obveznu provedbu putem EOJN RH kada je ona propisana Zakonom o javnoj nabavi i ovim Pravilnikom, dodatno objaviti i na mrežnim stranicama Vrtića.</w:t>
      </w:r>
    </w:p>
    <w:p w14:paraId="33E582D3">
      <w:pPr>
        <w:jc w:val="both"/>
      </w:pPr>
      <w:r>
        <w:rPr>
          <w:rFonts w:eastAsia="Times New Roman"/>
          <w:lang w:val="hr-HR"/>
        </w:rPr>
        <w:t>7) Poziv na dostavu ponuda mora sadržavati sve podatke potrebne gospodarskom subjektu za izradu usporedive i potpune ponude, a osobito opis predmeta nabave, količinu ili opseg, rok i mjesto izvršenja, kriterij odabira, rok za dostavu ponude, način dostave ponude, uvjete plaćanja te, prema potrebi, uvjete sposobnosti, razloge isključenja, jamstva i druge zahtjeve povezane s predmetom nabave.</w:t>
      </w:r>
    </w:p>
    <w:p w14:paraId="06D8B87E">
      <w:pPr>
        <w:keepNext/>
        <w:spacing w:before="160"/>
        <w:jc w:val="center"/>
      </w:pPr>
      <w:r>
        <w:rPr>
          <w:rFonts w:eastAsia="Times New Roman"/>
          <w:b/>
          <w:lang w:val="hr-HR"/>
        </w:rPr>
        <w:t>Članak 10.</w:t>
      </w:r>
    </w:p>
    <w:p w14:paraId="432A5E9A">
      <w:pPr>
        <w:jc w:val="both"/>
      </w:pPr>
      <w:r>
        <w:rPr>
          <w:rFonts w:eastAsia="Times New Roman"/>
          <w:lang w:val="hr-HR"/>
        </w:rPr>
        <w:t>1) Način dostave ponude određuje se u pozivu na dostavu ponuda, vodeći računa o obveznoj uporabi modula jednostavne nabave EOJN RH za nabave za koje je to propisano.</w:t>
      </w:r>
    </w:p>
    <w:p w14:paraId="4B7C0B34">
      <w:pPr>
        <w:jc w:val="both"/>
      </w:pPr>
      <w:r>
        <w:rPr>
          <w:rFonts w:eastAsia="Times New Roman"/>
          <w:lang w:val="hr-HR"/>
        </w:rPr>
        <w:t>2) Rok za dostavu ponuda iznosi, u pravilu, najmanje pet dana od dana slanja odnosno objave poziva na dostavu ponuda. Iznimno, može se odrediti i kraći rok ako je, s obzirom na jednostavnost predmeta nabave i druge okolnosti, objektivno dovoljan za pripremu i dostavu ponude, uz obrazloženje takve odluke u dokumentaciji postupka.</w:t>
      </w:r>
    </w:p>
    <w:p w14:paraId="70C6B689">
      <w:pPr>
        <w:jc w:val="both"/>
      </w:pPr>
      <w:r>
        <w:rPr>
          <w:rFonts w:eastAsia="Times New Roman"/>
          <w:lang w:val="hr-HR"/>
        </w:rPr>
        <w:t>3) Kada se, za nabave za koje nije obvezna uporaba EOJN RH, ponude dostavljaju elektroničkom poštom ili drugim sredstvima, osobe uključene u postupak dužne su osigurati integritet podataka, povjerljivost sadržaja i tajnost ponuda do isteka roka za njihovu dostavu.</w:t>
      </w:r>
    </w:p>
    <w:p w14:paraId="12558E26">
      <w:pPr>
        <w:keepNext/>
        <w:spacing w:before="220" w:after="100"/>
      </w:pPr>
      <w:r>
        <w:rPr>
          <w:rFonts w:eastAsia="Times New Roman"/>
          <w:b/>
          <w:lang w:val="hr-HR"/>
        </w:rPr>
        <w:t>VII. KRITERIJ ZA ODABIR PONUDE</w:t>
      </w:r>
    </w:p>
    <w:p w14:paraId="773AFC54">
      <w:pPr>
        <w:keepNext/>
        <w:spacing w:before="160"/>
        <w:jc w:val="center"/>
      </w:pPr>
      <w:r>
        <w:rPr>
          <w:rFonts w:eastAsia="Times New Roman"/>
          <w:b/>
          <w:lang w:val="hr-HR"/>
        </w:rPr>
        <w:t>Članak 11.</w:t>
      </w:r>
    </w:p>
    <w:p w14:paraId="2CEF0905">
      <w:pPr>
        <w:jc w:val="both"/>
      </w:pPr>
      <w:r>
        <w:rPr>
          <w:rFonts w:eastAsia="Times New Roman"/>
          <w:lang w:val="hr-HR"/>
        </w:rPr>
        <w:t>1) Kriterij za odabir ponude je najniža cijena ili ekonomski najpovoljnija ponuda.</w:t>
      </w:r>
    </w:p>
    <w:p w14:paraId="6939CADF">
      <w:pPr>
        <w:jc w:val="both"/>
      </w:pPr>
      <w:r>
        <w:rPr>
          <w:rFonts w:eastAsia="Times New Roman"/>
          <w:lang w:val="hr-HR"/>
        </w:rPr>
        <w:t>2) Ako je kriterij za odabir ponude najniža cijena, ponude se rangiraju prema cijeni ponude bez PDV-a, osim ako je u pozivu na dostavu ponuda određeno drukčije u skladu s posebnim propisima.</w:t>
      </w:r>
    </w:p>
    <w:p w14:paraId="6928C6D8">
      <w:pPr>
        <w:jc w:val="both"/>
      </w:pPr>
      <w:r>
        <w:rPr>
          <w:rFonts w:eastAsia="Times New Roman"/>
          <w:lang w:val="hr-HR"/>
        </w:rPr>
        <w:t>3) Ako je kriterij za odabir ponude ekonomski najpovoljnija ponuda, u pozivu na dostavu ponuda moraju biti navedeni kriteriji i njihov relativni značaj odnosno način bodovanja. Kriteriji mogu osobito uključivati kvalitetu, tehničku i funkcionalnu vrijednost, organizaciju i kvalifikacije osoblja, rok izvršenja, troškove životnog vijeka i druge kriterije povezane s predmetom nabave.</w:t>
      </w:r>
    </w:p>
    <w:p w14:paraId="5C6133A5">
      <w:pPr>
        <w:keepNext/>
        <w:spacing w:before="220" w:after="100"/>
      </w:pPr>
      <w:r>
        <w:rPr>
          <w:rFonts w:eastAsia="Times New Roman"/>
          <w:b/>
          <w:lang w:val="hr-HR"/>
        </w:rPr>
        <w:t>VIII. OTVARANJE, PREGLED I OCJENA PONUDA</w:t>
      </w:r>
    </w:p>
    <w:p w14:paraId="18071F5B">
      <w:pPr>
        <w:keepNext/>
        <w:spacing w:before="160"/>
        <w:jc w:val="center"/>
      </w:pPr>
      <w:r>
        <w:rPr>
          <w:rFonts w:eastAsia="Times New Roman"/>
          <w:b/>
          <w:lang w:val="hr-HR"/>
        </w:rPr>
        <w:t>Članak 12.</w:t>
      </w:r>
    </w:p>
    <w:p w14:paraId="644A9470">
      <w:pPr>
        <w:jc w:val="both"/>
      </w:pPr>
      <w:r>
        <w:rPr>
          <w:rFonts w:eastAsia="Times New Roman"/>
          <w:lang w:val="hr-HR"/>
        </w:rPr>
        <w:t>1) Ponude zaprimljene u roku za dostavu ponuda otvaraju se nakon isteka roka za dostavu, a zatim se pregledavaju i ocjenjuju na temelju uvjeta i zahtjeva iz poziva na dostavu ponuda.</w:t>
      </w:r>
    </w:p>
    <w:p w14:paraId="1C2D773D">
      <w:pPr>
        <w:jc w:val="both"/>
      </w:pPr>
      <w:r>
        <w:rPr>
          <w:rFonts w:eastAsia="Times New Roman"/>
          <w:lang w:val="hr-HR"/>
        </w:rPr>
        <w:t>2) Otvaranje ponuda u postupcima jednostavne nabave nije javno, osim ako je u konkretnom postupku izričito određeno drukčije.</w:t>
      </w:r>
    </w:p>
    <w:p w14:paraId="17441DE1">
      <w:pPr>
        <w:keepNext/>
        <w:spacing w:before="160"/>
        <w:jc w:val="center"/>
      </w:pPr>
      <w:r>
        <w:rPr>
          <w:rFonts w:eastAsia="Times New Roman"/>
          <w:b/>
          <w:lang w:val="hr-HR"/>
        </w:rPr>
        <w:t>Članak 13.</w:t>
      </w:r>
    </w:p>
    <w:p w14:paraId="2B3AF57D">
      <w:pPr>
        <w:jc w:val="both"/>
      </w:pPr>
      <w:r>
        <w:rPr>
          <w:rFonts w:eastAsia="Times New Roman"/>
          <w:lang w:val="hr-HR"/>
        </w:rPr>
        <w:t>1) Za nabave procijenjene vrijednosti veće od 15.000,00 eura stručno povjerenstvo sastavlja zapisnik o pregledu i ocjeni ponuda. Zapisnik sadrži najmanje podatke o predmetu i procijenjenoj vrijednosti nabave, gospodarskim subjektima kojima je poziv upućen odnosno podatak o javnoj objavi, broju zaprimljenih ponuda, ponuditeljima, cijenama ponuda, rezultatima pregleda i ocjene, rangiranju ponuda te obrazloženi prijedlog za odabir ponude ili poništenje postupka.</w:t>
      </w:r>
    </w:p>
    <w:p w14:paraId="0FE89175">
      <w:pPr>
        <w:jc w:val="both"/>
      </w:pPr>
      <w:r>
        <w:rPr>
          <w:rFonts w:eastAsia="Times New Roman"/>
          <w:lang w:val="hr-HR"/>
        </w:rPr>
        <w:t>2) Tijekom pregleda i ocjene ponuda može se, ako je to potrebno i uz poštovanje načela jednakog tretmana i transparentnosti, od ponuditelja zatražiti pojašnjenje ili upotpunjavanje ponude, dostava ili pojašnjenje dokaza, prihvat ispravka računske pogreške, obrazloženje neuobičajeno niske ponude, produljenje roka valjanosti ponude ili drugo očitovanje povezano s pregledom i ocjenom ponude, pod uvjetom da se time ne pregovara o kriterijima za odabir niti mijenjaju bitni elementi ponude na način kojim bi se narušilo tržišno natjecanje.</w:t>
      </w:r>
    </w:p>
    <w:p w14:paraId="6820EF32">
      <w:pPr>
        <w:jc w:val="both"/>
      </w:pPr>
      <w:r>
        <w:rPr>
          <w:rFonts w:eastAsia="Times New Roman"/>
          <w:lang w:val="hr-HR"/>
        </w:rPr>
        <w:t>3) Zapisnik potpisuju članovi stručnog povjerenstva te se, za postupke provedene putem EOJN RH, objavljuje odnosno dostavlja putem modula jednostavne nabave zajedno s odlukom o odabiru ili odlukom o poništenju, kada je to omogućeno funkcionalnostima sustava.</w:t>
      </w:r>
    </w:p>
    <w:p w14:paraId="52854C1F">
      <w:pPr>
        <w:jc w:val="both"/>
      </w:pPr>
      <w:r>
        <w:rPr>
          <w:rFonts w:eastAsia="Times New Roman"/>
          <w:lang w:val="hr-HR"/>
        </w:rPr>
        <w:t>4) Za odabir je dovoljna jedna valjana ponuda koja ispunjava sve uvjete i zahtjeve iz poziva na dostavu ponuda, ako je njezin odabir zakonit, svrhovit i osigurana su sredstva za nabavu.</w:t>
      </w:r>
    </w:p>
    <w:p w14:paraId="5EC61DDF">
      <w:pPr>
        <w:jc w:val="both"/>
      </w:pPr>
      <w:r>
        <w:rPr>
          <w:rFonts w:eastAsia="Times New Roman"/>
          <w:lang w:val="hr-HR"/>
        </w:rPr>
        <w:t>5) Na temelju prijedloga stručnog povjerenstva ravnateljica donosi odluku o odabiru ili odluku o poništenju. Nakon donošenja odluke o odabiru i pribavljanja odluke, prethodne suglasnosti ili drugog odobrenja iz stavka 6. ovoga članka, kada je ono potrebno, ovisno o predmetu i vrijednosti nabave prihvaća se ponuda, izdaje narudžbenica ili sklapa ugovor s odabranim ponuditeljem.</w:t>
      </w:r>
    </w:p>
    <w:p w14:paraId="7174E154">
      <w:pPr>
        <w:jc w:val="both"/>
      </w:pPr>
      <w:r>
        <w:rPr>
          <w:rFonts w:eastAsia="Times New Roman"/>
          <w:lang w:val="hr-HR"/>
        </w:rPr>
        <w:t>6) Provedba postupka jednostavne nabave i donošenje odluke o odabiru ne predstavljaju ovlaštenje za sklapanje ugovora odnosno drugo preuzimanje obveze protivno ograničenjima utvrđenima Statutom Vrtića ili aktima osnivača. Ako je prema Statutu Vrtića, drugom općem aktu Vrtića ili aktu osnivača za sklapanje pravnog posla, stjecanje, otuđenje ili opterećenje imovine, odnosno za investiciju, potrebna odluka Upravnog vijeća, prethodna suglasnost osnivača ili drugo odobrenje nadležnog tijela, isto se mora pribaviti prije sklapanja ugovora, izdavanja narudžbenice, prihvaćanja ponude ili drugog preuzimanja obveze.</w:t>
      </w:r>
    </w:p>
    <w:p w14:paraId="2BF5543E">
      <w:pPr>
        <w:keepNext/>
        <w:spacing w:before="220" w:after="100"/>
      </w:pPr>
      <w:r>
        <w:rPr>
          <w:rFonts w:eastAsia="Times New Roman"/>
          <w:b/>
          <w:lang w:val="hr-HR"/>
        </w:rPr>
        <w:t>IX. OBAVJEŠTAVANJE, PONIŠTENJE I PRAVNA ZAŠTITA</w:t>
      </w:r>
    </w:p>
    <w:p w14:paraId="7DADAA9B">
      <w:pPr>
        <w:keepNext/>
        <w:spacing w:before="160"/>
        <w:jc w:val="center"/>
      </w:pPr>
      <w:r>
        <w:rPr>
          <w:rFonts w:eastAsia="Times New Roman"/>
          <w:b/>
          <w:lang w:val="hr-HR"/>
        </w:rPr>
        <w:t>Članak 14.</w:t>
      </w:r>
    </w:p>
    <w:p w14:paraId="0A770595">
      <w:pPr>
        <w:jc w:val="both"/>
      </w:pPr>
      <w:r>
        <w:rPr>
          <w:rFonts w:eastAsia="Times New Roman"/>
          <w:lang w:val="hr-HR"/>
        </w:rPr>
        <w:t>1) O odluci o odabiru ili odluci o poništenju obavještavaju se gospodarski subjekti koji su dostavili ponude. U postupcima provedenima putem EOJN RH odluka se dostavlja odnosno objavljuje putem modula jednostavne nabave, a ako je poziv bio dodatno objavljen na mrežnim stranicama Vrtića, podaci o ishodu postupka mogu se objaviti i na tim stranicama.</w:t>
      </w:r>
    </w:p>
    <w:p w14:paraId="131DCF9E">
      <w:pPr>
        <w:jc w:val="both"/>
      </w:pPr>
      <w:r>
        <w:rPr>
          <w:rFonts w:eastAsia="Times New Roman"/>
          <w:lang w:val="hr-HR"/>
        </w:rPr>
        <w:t>2) Vrtić može poništiti postupak jednostavne nabave prije ili nakon isteka roka za dostavu ponuda ako nastupe okolnosti zbog kojih se postupak ne može ili ne treba zakonito i svrhovito dovršiti. Odluka o poništenju mora sadržavati obrazloženje razloga za poništenje.</w:t>
      </w:r>
    </w:p>
    <w:p w14:paraId="79B2937F">
      <w:pPr>
        <w:jc w:val="both"/>
      </w:pPr>
      <w:r>
        <w:rPr>
          <w:rFonts w:eastAsia="Times New Roman"/>
          <w:lang w:val="hr-HR"/>
        </w:rPr>
        <w:t>3) Gospodarski subjekt koji ima ili je imao interes za dobivanje određenog ugovora o jednostavnoj nabavi i koji je pretrpio ili bi mogao pretrpjeti štetu zbog navodnog kršenja pravila postupka može, u postupku jednostavne nabave procijenjene vrijednosti veće od 15.000,00 eura, podnijeti prigovor ravnateljici u roku od pet dana od dana dostave odnosno objave odluke o odabiru ili odluke o poništenju.</w:t>
      </w:r>
    </w:p>
    <w:p w14:paraId="52D16AB1">
      <w:pPr>
        <w:jc w:val="both"/>
      </w:pPr>
      <w:r>
        <w:rPr>
          <w:rFonts w:eastAsia="Times New Roman"/>
          <w:lang w:val="hr-HR"/>
        </w:rPr>
        <w:t>4) Prigovor se podnosi elektroničkim sredstvima komunikacije na adresu elektroničke pošte navedenu u pozivu na dostavu ponuda ili putem modula jednostavne nabave EOJN RH, prema načinu određenom u konkretnom postupku.</w:t>
      </w:r>
    </w:p>
    <w:p w14:paraId="46F6F65F">
      <w:pPr>
        <w:jc w:val="both"/>
      </w:pPr>
      <w:r>
        <w:rPr>
          <w:rFonts w:eastAsia="Times New Roman"/>
          <w:lang w:val="hr-HR"/>
        </w:rPr>
        <w:t>5) Način podnošenja prigovora mora biti jasno naveden u pozivu na dostavu ponuda i označen u modulu jednostavne nabave EOJN RH, kada se postupak provodi putem tog modula.</w:t>
      </w:r>
    </w:p>
    <w:p w14:paraId="0B566DD6">
      <w:pPr>
        <w:jc w:val="both"/>
      </w:pPr>
      <w:r>
        <w:rPr>
          <w:rFonts w:eastAsia="Times New Roman"/>
          <w:lang w:val="hr-HR"/>
        </w:rPr>
        <w:t>6) Ravnateljica će o prigovoru dostaviti pisani odgovor u roku od deset dana od dana njegova zaprimanja ili će, ako utvrdi da je prigovor osnovan i da nepravilnost nije moguće otkloniti na drugi način, poništiti postupak.</w:t>
      </w:r>
    </w:p>
    <w:p w14:paraId="0DC05D9F">
      <w:pPr>
        <w:jc w:val="both"/>
      </w:pPr>
      <w:r>
        <w:rPr>
          <w:rFonts w:eastAsia="Times New Roman"/>
          <w:lang w:val="hr-HR"/>
        </w:rPr>
        <w:t>7) Podnošenje prigovora ne odgađa sklapanje ugovora, izdavanje narudžbenice ili prihvaćanje ponude, osim ako ravnateljica ocijeni da bi nastavak postupka mogao utjecati na njegovu zakonitost ili uzrokovati štetu Vrtiću.</w:t>
      </w:r>
    </w:p>
    <w:p w14:paraId="27D45D0D">
      <w:pPr>
        <w:keepNext/>
        <w:spacing w:before="220" w:after="100"/>
      </w:pPr>
      <w:r>
        <w:rPr>
          <w:rFonts w:eastAsia="Times New Roman"/>
          <w:b/>
          <w:lang w:val="hr-HR"/>
        </w:rPr>
        <w:t>X. PRAĆENJE IZVRŠENJA, IZMJENE UGOVORA I ČUVANJE DOKUMENTACIJE</w:t>
      </w:r>
    </w:p>
    <w:p w14:paraId="19028FB8">
      <w:pPr>
        <w:keepNext/>
        <w:spacing w:before="160"/>
        <w:jc w:val="center"/>
      </w:pPr>
      <w:r>
        <w:rPr>
          <w:rFonts w:eastAsia="Times New Roman"/>
          <w:b/>
          <w:lang w:val="hr-HR"/>
        </w:rPr>
        <w:t>Članak 15.</w:t>
      </w:r>
    </w:p>
    <w:p w14:paraId="12505113">
      <w:pPr>
        <w:jc w:val="both"/>
      </w:pPr>
      <w:r>
        <w:rPr>
          <w:rFonts w:eastAsia="Times New Roman"/>
          <w:lang w:val="hr-HR"/>
        </w:rPr>
        <w:t>1) Ravnateljica ili osoba koju ravnateljica ovlasti dužna je pratiti izvršenje prihvaćene ponude, izdane narudžbenice odnosno sklopljenog ugovora od njegova nastanka do izvršenja svih obveza ugovornih strana.</w:t>
      </w:r>
    </w:p>
    <w:p w14:paraId="2E430777">
      <w:pPr>
        <w:jc w:val="both"/>
      </w:pPr>
      <w:r>
        <w:rPr>
          <w:rFonts w:eastAsia="Times New Roman"/>
          <w:lang w:val="hr-HR"/>
        </w:rPr>
        <w:t>2) U slučaju potrebe za izmjenom ili raskidom ugovora osoba koja prati izvršenje ugovora dužna je pravodobno izvijestiti ravnateljicu i obrazložiti razloge za izmjenu ili raskid.</w:t>
      </w:r>
    </w:p>
    <w:p w14:paraId="5C823798">
      <w:pPr>
        <w:jc w:val="both"/>
      </w:pPr>
      <w:r>
        <w:rPr>
          <w:rFonts w:eastAsia="Times New Roman"/>
          <w:lang w:val="hr-HR"/>
        </w:rPr>
        <w:t>3) Ugovor, narudžbenica ili prihvaćena ponuda mora biti u skladu s uvjetima iz poziva na dostavu ponuda i odabranom ponudom. Izmjene tijekom izvršenja dopuštene su samo ako ne mijenjaju bitnu narav predmeta nabave i ako se njima ne zaobilazi primjena Zakona o javnoj nabavi ili ovoga Pravilnika.</w:t>
      </w:r>
    </w:p>
    <w:p w14:paraId="0A9BBA7B">
      <w:pPr>
        <w:jc w:val="both"/>
      </w:pPr>
      <w:r>
        <w:rPr>
          <w:rFonts w:eastAsia="Times New Roman"/>
          <w:lang w:val="hr-HR"/>
        </w:rPr>
        <w:t>4) Dokumentacija o postupcima jednostavne nabave čuva se najmanje pet godina od završetka postupka odnosno izvršenja ugovora, a dulje kada je to propisano posebnim propisom, pravilima uredskog i arhivskog poslovanja, ugovorom o financiranju ili pravilima projekta iz kojeg se nabava financira.</w:t>
      </w:r>
    </w:p>
    <w:p w14:paraId="134DC89E">
      <w:pPr>
        <w:keepNext/>
        <w:spacing w:before="220" w:after="100"/>
      </w:pPr>
      <w:r>
        <w:rPr>
          <w:rFonts w:eastAsia="Times New Roman"/>
          <w:b/>
          <w:lang w:val="hr-HR"/>
        </w:rPr>
        <w:t>XI. ZAVRŠNE ODREDBE</w:t>
      </w:r>
    </w:p>
    <w:p w14:paraId="2A161743">
      <w:pPr>
        <w:keepNext/>
        <w:spacing w:before="160"/>
        <w:jc w:val="center"/>
      </w:pPr>
      <w:r>
        <w:rPr>
          <w:rFonts w:eastAsia="Times New Roman"/>
          <w:b/>
          <w:lang w:val="hr-HR"/>
        </w:rPr>
        <w:t>Članak 16.</w:t>
      </w:r>
    </w:p>
    <w:p w14:paraId="2C873238">
      <w:pPr>
        <w:jc w:val="both"/>
      </w:pPr>
      <w:r>
        <w:rPr>
          <w:rFonts w:eastAsia="Times New Roman"/>
          <w:lang w:val="hr-HR"/>
        </w:rPr>
        <w:t>1) Vrtić će ovaj Pravilnik, kao i njegove izmjene i dopune, objaviti na svojim mrežnim stranicama te učiniti dostupnim u EOJN RH, u skladu sa Zakonom o javnoj nabavi.</w:t>
      </w:r>
    </w:p>
    <w:p w14:paraId="599E4FC1">
      <w:pPr>
        <w:jc w:val="both"/>
      </w:pPr>
      <w:r>
        <w:rPr>
          <w:rFonts w:eastAsia="Times New Roman"/>
          <w:lang w:val="hr-HR"/>
        </w:rPr>
        <w:t>2) U slučaju izmjena i dopuna Zakona o javnoj nabavi u dijelu koji se odnosi na promjenu vrijednosnih pragova jednostavne nabave, odredbe ovoga Pravilnika do njegove izmjene na odgovarajući se način primjenjuju na nove zakonske vrijednosne pragove.</w:t>
      </w:r>
    </w:p>
    <w:p w14:paraId="29668EE8">
      <w:pPr>
        <w:keepNext/>
        <w:spacing w:before="160"/>
        <w:jc w:val="center"/>
      </w:pPr>
      <w:r>
        <w:rPr>
          <w:rFonts w:eastAsia="Times New Roman"/>
          <w:b/>
          <w:lang w:val="hr-HR"/>
        </w:rPr>
        <w:t>Članak 17.</w:t>
      </w:r>
    </w:p>
    <w:p w14:paraId="5E85346B">
      <w:pPr>
        <w:jc w:val="both"/>
      </w:pPr>
      <w:r>
        <w:rPr>
          <w:rFonts w:eastAsia="Times New Roman"/>
          <w:lang w:val="hr-HR"/>
        </w:rPr>
        <w:t>1) Ovaj Pravilnik stupa na snagu danom objave na oglasnoj ploči Dječjeg vrtića Grlica.</w:t>
      </w:r>
    </w:p>
    <w:p w14:paraId="3738DA6B">
      <w:pPr>
        <w:jc w:val="both"/>
      </w:pPr>
      <w:r>
        <w:rPr>
          <w:rFonts w:eastAsia="Times New Roman"/>
          <w:lang w:val="hr-HR"/>
        </w:rPr>
        <w:t>2) Stupanjem na snagu ovoga Pravilnika prestaje važiti Pravilnik o provođenju postupaka jednostavne nabave Dječjeg vrtića Grlica, KLASA: 601-02/26-01/69, URBROJ: 2100-28-04-26-04 od 23. ožujka 2026. godine.</w:t>
      </w:r>
    </w:p>
    <w:p w14:paraId="1B2003C7">
      <w:pPr>
        <w:jc w:val="both"/>
        <w:rPr>
          <w:rFonts w:eastAsia="Times New Roman"/>
          <w:lang w:val="hr-HR"/>
        </w:rPr>
      </w:pPr>
      <w:r>
        <w:rPr>
          <w:rFonts w:eastAsia="Times New Roman"/>
          <w:lang w:val="hr-HR"/>
        </w:rPr>
        <w:t>3) Postupci jednostavne nabave pokrenuti prije stupanja na snagu ovoga Pravilnika dovršit će se prema propisima i općem aktu koji su bili na snazi u trenutku pokretanja postupka.</w:t>
      </w:r>
    </w:p>
    <w:p w14:paraId="278C81F8">
      <w:pPr>
        <w:jc w:val="both"/>
        <w:rPr>
          <w:rFonts w:eastAsia="Times New Roman"/>
          <w:lang w:val="hr-HR"/>
        </w:rPr>
      </w:pPr>
    </w:p>
    <w:p w14:paraId="363DB905">
      <w:pPr>
        <w:spacing w:before="400" w:after="0"/>
        <w:jc w:val="right"/>
      </w:pPr>
      <w:r>
        <w:rPr>
          <w:rFonts w:eastAsia="Times New Roman"/>
          <w:b/>
          <w:lang w:val="hr-HR"/>
        </w:rPr>
        <w:t>Predsjednica Upravnog vijeća</w:t>
      </w:r>
    </w:p>
    <w:p w14:paraId="78EFB27B">
      <w:pPr>
        <w:spacing w:after="0"/>
        <w:jc w:val="right"/>
      </w:pPr>
      <w:r>
        <w:rPr>
          <w:rFonts w:eastAsia="Times New Roman"/>
          <w:lang w:val="hr-HR"/>
        </w:rPr>
        <w:t>Gordana Kuna Zoro</w:t>
      </w:r>
    </w:p>
    <w:p w14:paraId="564A53A5">
      <w:pPr>
        <w:jc w:val="both"/>
        <w:rPr>
          <w:color w:val="00000A"/>
        </w:rPr>
      </w:pPr>
    </w:p>
    <w:p w14:paraId="35290157">
      <w:pPr>
        <w:spacing w:before="360" w:after="0"/>
        <w:jc w:val="both"/>
        <w:rPr>
          <w:rFonts w:eastAsia="Times New Roman"/>
          <w:i/>
          <w:sz w:val="24"/>
          <w:szCs w:val="24"/>
          <w:lang w:val="hr-HR"/>
        </w:rPr>
      </w:pPr>
    </w:p>
    <w:p w14:paraId="1E9F0555">
      <w:pPr>
        <w:spacing w:before="360" w:after="0"/>
        <w:jc w:val="both"/>
        <w:rPr>
          <w:rFonts w:eastAsia="Times New Roman"/>
          <w:i w:val="0"/>
          <w:iCs/>
          <w:sz w:val="24"/>
          <w:szCs w:val="24"/>
          <w:lang w:val="hr-HR"/>
        </w:rPr>
      </w:pPr>
      <w:r>
        <w:rPr>
          <w:rFonts w:eastAsia="Times New Roman"/>
          <w:i w:val="0"/>
          <w:iCs/>
          <w:sz w:val="24"/>
          <w:szCs w:val="24"/>
          <w:lang w:val="hr-HR"/>
        </w:rPr>
        <w:t xml:space="preserve">Ovaj Pravilnik donesen je na 84. sjednici Upravnog vijeća Dječjeg vrtića Grlica održanoj dana 30. rujna 2026. godine, objavljen je na oglasnoj ploči Dječjeg vrtića Grlica dana </w:t>
      </w:r>
      <w:r>
        <w:rPr>
          <w:rFonts w:hint="default" w:eastAsia="Times New Roman"/>
          <w:i w:val="0"/>
          <w:iCs/>
          <w:sz w:val="24"/>
          <w:szCs w:val="24"/>
          <w:lang w:val="hr-HR"/>
        </w:rPr>
        <w:t>1. listopada</w:t>
      </w:r>
      <w:r>
        <w:rPr>
          <w:rFonts w:eastAsia="Times New Roman"/>
          <w:i w:val="0"/>
          <w:iCs/>
          <w:sz w:val="24"/>
          <w:szCs w:val="24"/>
          <w:lang w:val="hr-HR"/>
        </w:rPr>
        <w:t xml:space="preserve"> 2026. godine, objavljen je na mrežnim stranicama Dječjeg vrtića Grlica dana </w:t>
      </w:r>
      <w:r>
        <w:rPr>
          <w:rFonts w:hint="default" w:eastAsia="Times New Roman"/>
          <w:i w:val="0"/>
          <w:iCs/>
          <w:sz w:val="24"/>
          <w:szCs w:val="24"/>
          <w:lang w:val="hr-HR"/>
        </w:rPr>
        <w:t xml:space="preserve">1. listopada </w:t>
      </w:r>
      <w:r>
        <w:rPr>
          <w:rFonts w:eastAsia="Times New Roman"/>
          <w:i w:val="0"/>
          <w:iCs/>
          <w:sz w:val="24"/>
          <w:szCs w:val="24"/>
          <w:lang w:val="hr-HR"/>
        </w:rPr>
        <w:t>2026. godine te je učinjen dostupnim u EOJN RH.</w:t>
      </w:r>
    </w:p>
    <w:p w14:paraId="28F7601C">
      <w:pPr>
        <w:spacing w:before="360" w:after="0"/>
        <w:jc w:val="both"/>
        <w:rPr>
          <w:rFonts w:eastAsia="Times New Roman"/>
          <w:i/>
          <w:sz w:val="24"/>
          <w:szCs w:val="24"/>
          <w:lang w:val="hr-HR"/>
        </w:rPr>
      </w:pPr>
    </w:p>
    <w:p w14:paraId="6342332A">
      <w:pPr>
        <w:jc w:val="both"/>
        <w:rPr>
          <w:color w:val="00000A"/>
        </w:rPr>
      </w:pPr>
    </w:p>
    <w:p w14:paraId="3FAE1826">
      <w:pPr>
        <w:jc w:val="right"/>
      </w:pPr>
      <w:r>
        <w:t>RAVNATELJICA</w:t>
      </w:r>
    </w:p>
    <w:p w14:paraId="14E134E3">
      <w:pPr>
        <w:jc w:val="right"/>
      </w:pPr>
      <w:r>
        <w:t>Ivana Bošnjaković, prof</w:t>
      </w:r>
    </w:p>
    <w:p w14:paraId="1EB69C18">
      <w:pPr>
        <w:jc w:val="both"/>
      </w:pPr>
    </w:p>
    <w:p w14:paraId="5E8EFDF6">
      <w:pPr>
        <w:jc w:val="both"/>
      </w:pPr>
      <w:bookmarkStart w:id="0" w:name="_GoBack"/>
      <w:bookmarkEnd w:id="0"/>
    </w:p>
    <w:p w14:paraId="2EB1BDE1">
      <w:pPr>
        <w:jc w:val="both"/>
      </w:pPr>
    </w:p>
    <w:sectPr>
      <w:footerReference r:id="rId5" w:type="default"/>
      <w:pgSz w:w="12240" w:h="15840"/>
      <w:pgMar w:top="1020" w:right="1417" w:bottom="1020" w:left="141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ＭＳ 明朝">
    <w:altName w:val="SimSun"/>
    <w:panose1 w:val="00000000000000000000"/>
    <w:charset w:val="86"/>
    <w:family w:val="auto"/>
    <w:pitch w:val="default"/>
    <w:sig w:usb0="00000000" w:usb1="00000000" w:usb2="00000000" w:usb3="00000000" w:csb0="00000000" w:csb1="00000000"/>
  </w:font>
  <w:font w:name="ＭＳ 明朝">
    <w:altName w:val="SimSun"/>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Symbol">
    <w:panose1 w:val="05050102010706020507"/>
    <w:charset w:val="02"/>
    <w:family w:val="decorative"/>
    <w:pitch w:val="default"/>
    <w:sig w:usb0="00000000" w:usb1="00000000" w:usb2="00000000" w:usb3="00000000" w:csb0="80000000" w:csb1="00000000"/>
  </w:font>
  <w:font w:name="Courier">
    <w:altName w:val="Courier New"/>
    <w:panose1 w:val="02070409020205020404"/>
    <w:charset w:val="00"/>
    <w:family w:val="auto"/>
    <w:pitch w:val="default"/>
    <w:sig w:usb0="00000000" w:usb1="00000000" w:usb2="00000000" w:usb3="00000000" w:csb0="00000001"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77C131">
    <w:pPr>
      <w:pStyle w:val="18"/>
      <w:jc w:val="center"/>
    </w:pPr>
    <w:r>
      <w:rPr>
        <w:rFonts w:eastAsia="Times New Roman"/>
        <w:sz w:val="18"/>
      </w:rPr>
      <w:t xml:space="preserve">Stranica </w:t>
    </w:r>
    <w:r>
      <w:rPr>
        <w:rFonts w:eastAsia="Times New Roman"/>
        <w:sz w:val="18"/>
      </w:rPr>
      <w:fldChar w:fldCharType="begin"/>
    </w:r>
    <w:r>
      <w:rPr>
        <w:rFonts w:eastAsia="Times New Roman"/>
        <w:sz w:val="18"/>
      </w:rPr>
      <w:instrText xml:space="preserve"> PAGE </w:instrText>
    </w:r>
    <w:r>
      <w:rPr>
        <w:rFonts w:eastAsia="Times New Roman"/>
        <w:sz w:val="18"/>
      </w:rPr>
      <w:fldChar w:fldCharType="separate"/>
    </w:r>
    <w:r>
      <w:rPr>
        <w:rFonts w:eastAsia="Times New Roman"/>
        <w:sz w:val="18"/>
      </w:rPr>
      <w:t>1</w:t>
    </w:r>
    <w:r>
      <w:rPr>
        <w:rFonts w:eastAsia="Times New Roman"/>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2" w:lineRule="auto"/>
      </w:pPr>
      <w:r>
        <w:separator/>
      </w:r>
    </w:p>
  </w:footnote>
  <w:footnote w:type="continuationSeparator" w:id="1">
    <w:p>
      <w:pPr>
        <w:spacing w:before="0" w:after="0" w:line="252"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31"/>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30"/>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25"/>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4"/>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29"/>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23"/>
      <w:lvlText w:val=""/>
      <w:lvlJc w:val="left"/>
      <w:pPr>
        <w:tabs>
          <w:tab w:val="left" w:pos="360"/>
        </w:tabs>
        <w:ind w:left="360" w:hanging="360"/>
      </w:pPr>
      <w:rPr>
        <w:rFonts w:hint="default" w:ascii="Symbol" w:hAnsi="Symbol"/>
      </w:rPr>
    </w:lvl>
  </w:abstractNum>
  <w:num w:numId="1">
    <w:abstractNumId w:val="5"/>
  </w:num>
  <w:num w:numId="2">
    <w:abstractNumId w:val="3"/>
  </w:num>
  <w:num w:numId="3">
    <w:abstractNumId w:val="2"/>
  </w:num>
  <w:num w:numId="4">
    <w:abstractNumId w:val="4"/>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4"/>
  <w:documentProtection w:enforcement="0"/>
  <w:defaultTabStop w:val="720"/>
  <w:hyphenationZone w:val="425"/>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0870E4"/>
    <w:rsid w:val="000F57AF"/>
    <w:rsid w:val="0015074B"/>
    <w:rsid w:val="001F4B45"/>
    <w:rsid w:val="0029639D"/>
    <w:rsid w:val="00326F90"/>
    <w:rsid w:val="00381DAA"/>
    <w:rsid w:val="00517C94"/>
    <w:rsid w:val="0052398B"/>
    <w:rsid w:val="006D4A86"/>
    <w:rsid w:val="00774516"/>
    <w:rsid w:val="00801BF1"/>
    <w:rsid w:val="00824F8F"/>
    <w:rsid w:val="00931F34"/>
    <w:rsid w:val="00AA1D8D"/>
    <w:rsid w:val="00B47730"/>
    <w:rsid w:val="00CB0664"/>
    <w:rsid w:val="00CC0A88"/>
    <w:rsid w:val="00CC294E"/>
    <w:rsid w:val="00DA3E7F"/>
    <w:rsid w:val="00F0140E"/>
    <w:rsid w:val="00F1742B"/>
    <w:rsid w:val="00F508E1"/>
    <w:rsid w:val="00F97F38"/>
    <w:rsid w:val="00FC43B6"/>
    <w:rsid w:val="00FC693F"/>
    <w:rsid w:val="00FC6F5F"/>
    <w:rsid w:val="11C737CE"/>
    <w:rsid w:val="17783D08"/>
    <w:rsid w:val="31F3796C"/>
    <w:rsid w:val="605F3CA2"/>
    <w:rsid w:val="7DC6724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doNotIncludeSubdocsInStats/>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qFormat="1"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qFormat="1"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qFormat="1"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qFormat="1" w:unhideWhenUsed="0" w:uiPriority="61" w:semiHidden="0" w:name="Light List Accent 2"/>
    <w:lsdException w:unhideWhenUsed="0" w:uiPriority="62" w:semiHidden="0" w:name="Light Grid Accent 2"/>
    <w:lsdException w:qFormat="1" w:unhideWhenUsed="0" w:uiPriority="63" w:semiHidden="0" w:name="Medium Shading 1 Accent 2"/>
    <w:lsdException w:unhideWhenUsed="0" w:uiPriority="64" w:semiHidden="0" w:name="Medium Shading 2 Accent 2"/>
    <w:lsdException w:qFormat="1"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qFormat="1"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qFormat="1" w:unhideWhenUsed="0" w:uiPriority="60" w:semiHidden="0" w:name="Light Shading Accent 5"/>
    <w:lsdException w:unhideWhenUsed="0" w:uiPriority="61" w:semiHidden="0" w:name="Light List Accent 5"/>
    <w:lsdException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qFormat="1" w:unhideWhenUsed="0" w:uiPriority="61" w:semiHidden="0" w:name="Light List Accent 6"/>
    <w:lsdException w:qFormat="1" w:unhideWhenUsed="0" w:uiPriority="62" w:semiHidden="0" w:name="Light Grid Accent 6"/>
    <w:lsdException w:unhideWhenUsed="0" w:uiPriority="63" w:semiHidden="0" w:name="Medium Shading 1 Accent 6"/>
    <w:lsdException w:qFormat="1"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80" w:line="252" w:lineRule="auto"/>
    </w:pPr>
    <w:rPr>
      <w:rFonts w:ascii="Times New Roman" w:hAnsi="Times New Roman" w:eastAsiaTheme="minorEastAsia" w:cstheme="minorBidi"/>
      <w:sz w:val="24"/>
      <w:szCs w:val="22"/>
      <w:lang w:val="en-US" w:eastAsia="en-US" w:bidi="ar-SA"/>
    </w:rPr>
  </w:style>
  <w:style w:type="paragraph" w:styleId="2">
    <w:name w:val="heading 1"/>
    <w:basedOn w:val="1"/>
    <w:next w:val="1"/>
    <w:link w:val="139"/>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3">
    <w:name w:val="heading 2"/>
    <w:basedOn w:val="1"/>
    <w:next w:val="1"/>
    <w:link w:val="140"/>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4">
    <w:name w:val="heading 3"/>
    <w:basedOn w:val="1"/>
    <w:next w:val="1"/>
    <w:link w:val="141"/>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5">
    <w:name w:val="heading 4"/>
    <w:basedOn w:val="1"/>
    <w:next w:val="1"/>
    <w:link w:val="151"/>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6">
    <w:name w:val="heading 5"/>
    <w:basedOn w:val="1"/>
    <w:next w:val="1"/>
    <w:link w:val="152"/>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7">
    <w:name w:val="heading 6"/>
    <w:basedOn w:val="1"/>
    <w:next w:val="1"/>
    <w:link w:val="153"/>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8">
    <w:name w:val="heading 7"/>
    <w:basedOn w:val="1"/>
    <w:next w:val="1"/>
    <w:link w:val="154"/>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9">
    <w:name w:val="heading 8"/>
    <w:basedOn w:val="1"/>
    <w:next w:val="1"/>
    <w:link w:val="155"/>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0">
    <w:name w:val="heading 9"/>
    <w:basedOn w:val="1"/>
    <w:next w:val="1"/>
    <w:link w:val="156"/>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Body Text"/>
    <w:basedOn w:val="1"/>
    <w:link w:val="145"/>
    <w:unhideWhenUsed/>
    <w:qFormat/>
    <w:uiPriority w:val="99"/>
    <w:pPr>
      <w:spacing w:after="120"/>
    </w:pPr>
  </w:style>
  <w:style w:type="paragraph" w:styleId="14">
    <w:name w:val="Body Text 2"/>
    <w:basedOn w:val="1"/>
    <w:link w:val="146"/>
    <w:unhideWhenUsed/>
    <w:qFormat/>
    <w:uiPriority w:val="99"/>
    <w:pPr>
      <w:spacing w:after="120" w:line="480" w:lineRule="auto"/>
    </w:pPr>
  </w:style>
  <w:style w:type="paragraph" w:styleId="15">
    <w:name w:val="Body Text 3"/>
    <w:basedOn w:val="1"/>
    <w:link w:val="147"/>
    <w:unhideWhenUsed/>
    <w:qFormat/>
    <w:uiPriority w:val="99"/>
    <w:pPr>
      <w:spacing w:after="120"/>
    </w:pPr>
    <w:rPr>
      <w:sz w:val="16"/>
      <w:szCs w:val="16"/>
    </w:rPr>
  </w:style>
  <w:style w:type="paragraph" w:styleId="16">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character" w:styleId="17">
    <w:name w:val="Emphasis"/>
    <w:basedOn w:val="11"/>
    <w:qFormat/>
    <w:uiPriority w:val="20"/>
    <w:rPr>
      <w:i/>
      <w:iCs/>
    </w:rPr>
  </w:style>
  <w:style w:type="paragraph" w:styleId="18">
    <w:name w:val="footer"/>
    <w:basedOn w:val="1"/>
    <w:link w:val="137"/>
    <w:unhideWhenUsed/>
    <w:qFormat/>
    <w:uiPriority w:val="99"/>
    <w:pPr>
      <w:tabs>
        <w:tab w:val="center" w:pos="4680"/>
        <w:tab w:val="right" w:pos="9360"/>
      </w:tabs>
      <w:spacing w:after="0" w:line="240" w:lineRule="auto"/>
    </w:pPr>
  </w:style>
  <w:style w:type="paragraph" w:styleId="19">
    <w:name w:val="header"/>
    <w:basedOn w:val="1"/>
    <w:link w:val="136"/>
    <w:unhideWhenUsed/>
    <w:qFormat/>
    <w:uiPriority w:val="99"/>
    <w:pPr>
      <w:tabs>
        <w:tab w:val="center" w:pos="4680"/>
        <w:tab w:val="right" w:pos="9360"/>
      </w:tabs>
      <w:spacing w:after="0" w:line="240" w:lineRule="auto"/>
    </w:pPr>
  </w:style>
  <w:style w:type="paragraph" w:styleId="20">
    <w:name w:val="List"/>
    <w:basedOn w:val="1"/>
    <w:unhideWhenUsed/>
    <w:uiPriority w:val="99"/>
    <w:pPr>
      <w:ind w:left="360" w:hanging="360"/>
      <w:contextualSpacing/>
    </w:pPr>
  </w:style>
  <w:style w:type="paragraph" w:styleId="21">
    <w:name w:val="List 2"/>
    <w:basedOn w:val="1"/>
    <w:unhideWhenUsed/>
    <w:qFormat/>
    <w:uiPriority w:val="99"/>
    <w:pPr>
      <w:ind w:left="720" w:hanging="360"/>
      <w:contextualSpacing/>
    </w:pPr>
  </w:style>
  <w:style w:type="paragraph" w:styleId="22">
    <w:name w:val="List 3"/>
    <w:basedOn w:val="1"/>
    <w:unhideWhenUsed/>
    <w:qFormat/>
    <w:uiPriority w:val="99"/>
    <w:pPr>
      <w:ind w:left="1080" w:hanging="360"/>
      <w:contextualSpacing/>
    </w:pPr>
  </w:style>
  <w:style w:type="paragraph" w:styleId="23">
    <w:name w:val="List Bullet"/>
    <w:basedOn w:val="1"/>
    <w:unhideWhenUsed/>
    <w:uiPriority w:val="99"/>
    <w:pPr>
      <w:numPr>
        <w:ilvl w:val="0"/>
        <w:numId w:val="1"/>
      </w:numPr>
      <w:contextualSpacing/>
    </w:pPr>
  </w:style>
  <w:style w:type="paragraph" w:styleId="24">
    <w:name w:val="List Bullet 2"/>
    <w:basedOn w:val="1"/>
    <w:unhideWhenUsed/>
    <w:uiPriority w:val="99"/>
    <w:pPr>
      <w:numPr>
        <w:ilvl w:val="0"/>
        <w:numId w:val="2"/>
      </w:numPr>
      <w:contextualSpacing/>
    </w:pPr>
  </w:style>
  <w:style w:type="paragraph" w:styleId="25">
    <w:name w:val="List Bullet 3"/>
    <w:basedOn w:val="1"/>
    <w:unhideWhenUsed/>
    <w:uiPriority w:val="99"/>
    <w:pPr>
      <w:numPr>
        <w:ilvl w:val="0"/>
        <w:numId w:val="3"/>
      </w:numPr>
      <w:contextualSpacing/>
    </w:pPr>
  </w:style>
  <w:style w:type="paragraph" w:styleId="26">
    <w:name w:val="List Continue"/>
    <w:basedOn w:val="1"/>
    <w:unhideWhenUsed/>
    <w:qFormat/>
    <w:uiPriority w:val="99"/>
    <w:pPr>
      <w:spacing w:after="120"/>
      <w:ind w:left="360"/>
      <w:contextualSpacing/>
    </w:pPr>
  </w:style>
  <w:style w:type="paragraph" w:styleId="27">
    <w:name w:val="List Continue 2"/>
    <w:basedOn w:val="1"/>
    <w:unhideWhenUsed/>
    <w:uiPriority w:val="99"/>
    <w:pPr>
      <w:spacing w:after="120"/>
      <w:ind w:left="720"/>
      <w:contextualSpacing/>
    </w:pPr>
  </w:style>
  <w:style w:type="paragraph" w:styleId="28">
    <w:name w:val="List Continue 3"/>
    <w:basedOn w:val="1"/>
    <w:unhideWhenUsed/>
    <w:qFormat/>
    <w:uiPriority w:val="99"/>
    <w:pPr>
      <w:spacing w:after="120"/>
      <w:ind w:left="1080"/>
      <w:contextualSpacing/>
    </w:pPr>
  </w:style>
  <w:style w:type="paragraph" w:styleId="29">
    <w:name w:val="List Number"/>
    <w:basedOn w:val="1"/>
    <w:unhideWhenUsed/>
    <w:qFormat/>
    <w:uiPriority w:val="99"/>
    <w:pPr>
      <w:numPr>
        <w:ilvl w:val="0"/>
        <w:numId w:val="4"/>
      </w:numPr>
      <w:contextualSpacing/>
    </w:pPr>
  </w:style>
  <w:style w:type="paragraph" w:styleId="30">
    <w:name w:val="List Number 2"/>
    <w:basedOn w:val="1"/>
    <w:unhideWhenUsed/>
    <w:qFormat/>
    <w:uiPriority w:val="99"/>
    <w:pPr>
      <w:numPr>
        <w:ilvl w:val="0"/>
        <w:numId w:val="5"/>
      </w:numPr>
      <w:contextualSpacing/>
    </w:pPr>
  </w:style>
  <w:style w:type="paragraph" w:styleId="31">
    <w:name w:val="List Number 3"/>
    <w:basedOn w:val="1"/>
    <w:unhideWhenUsed/>
    <w:uiPriority w:val="99"/>
    <w:pPr>
      <w:numPr>
        <w:ilvl w:val="0"/>
        <w:numId w:val="6"/>
      </w:numPr>
      <w:contextualSpacing/>
    </w:pPr>
  </w:style>
  <w:style w:type="paragraph" w:styleId="32">
    <w:name w:val="macro"/>
    <w:link w:val="148"/>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33">
    <w:name w:val="Normal (Web)"/>
    <w:basedOn w:val="1"/>
    <w:unhideWhenUsed/>
    <w:qFormat/>
    <w:uiPriority w:val="99"/>
    <w:pPr>
      <w:spacing w:before="100" w:beforeAutospacing="1" w:after="100" w:afterAutospacing="1" w:line="240" w:lineRule="auto"/>
    </w:pPr>
    <w:rPr>
      <w:rFonts w:cs="Times New Roman"/>
      <w:szCs w:val="24"/>
      <w:lang w:val="hr-HR" w:eastAsia="hr-HR"/>
    </w:rPr>
  </w:style>
  <w:style w:type="character" w:styleId="34">
    <w:name w:val="Strong"/>
    <w:basedOn w:val="11"/>
    <w:qFormat/>
    <w:uiPriority w:val="22"/>
    <w:rPr>
      <w:b/>
      <w:bCs/>
    </w:rPr>
  </w:style>
  <w:style w:type="paragraph" w:styleId="35">
    <w:name w:val="Subtitle"/>
    <w:basedOn w:val="1"/>
    <w:next w:val="1"/>
    <w:link w:val="143"/>
    <w:qFormat/>
    <w:uiPriority w:val="11"/>
    <w:rPr>
      <w:rFonts w:asciiTheme="majorHAnsi" w:hAnsiTheme="majorHAnsi" w:eastAsiaTheme="majorEastAsia" w:cstheme="majorBidi"/>
      <w:i/>
      <w:iCs/>
      <w:color w:val="4F81BD" w:themeColor="accent1"/>
      <w:spacing w:val="15"/>
      <w:szCs w:val="24"/>
      <w14:textFill>
        <w14:solidFill>
          <w14:schemeClr w14:val="accent1"/>
        </w14:solidFill>
      </w14:textFill>
    </w:rPr>
  </w:style>
  <w:style w:type="table" w:styleId="36">
    <w:name w:val="Table Grid"/>
    <w:basedOn w:val="1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37">
    <w:name w:val="Title"/>
    <w:basedOn w:val="1"/>
    <w:next w:val="1"/>
    <w:link w:val="142"/>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8">
    <w:name w:val="Light Shading"/>
    <w:basedOn w:val="1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9">
    <w:name w:val="Light Shading Accent 1"/>
    <w:basedOn w:val="1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40">
    <w:name w:val="Light Shading Accent 2"/>
    <w:basedOn w:val="1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41">
    <w:name w:val="Light Shading Accent 3"/>
    <w:basedOn w:val="1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2">
    <w:name w:val="Light Shading Accent 4"/>
    <w:basedOn w:val="1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3">
    <w:name w:val="Light Shading Accent 5"/>
    <w:basedOn w:val="1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4">
    <w:name w:val="Light Shading Accent 6"/>
    <w:basedOn w:val="1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5">
    <w:name w:val="Light List"/>
    <w:basedOn w:val="1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6">
    <w:name w:val="Light List Accent 1"/>
    <w:basedOn w:val="1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7">
    <w:name w:val="Light List Accent 2"/>
    <w:basedOn w:val="1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8">
    <w:name w:val="Light List Accent 3"/>
    <w:basedOn w:val="1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9">
    <w:name w:val="Light List Accent 4"/>
    <w:basedOn w:val="1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50">
    <w:name w:val="Light List Accent 5"/>
    <w:basedOn w:val="1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51">
    <w:name w:val="Light List Accent 6"/>
    <w:basedOn w:val="1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2">
    <w:name w:val="Light Grid"/>
    <w:basedOn w:val="1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3">
    <w:name w:val="Light Grid Accent 1"/>
    <w:basedOn w:val="1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4">
    <w:name w:val="Light Grid Accent 2"/>
    <w:basedOn w:val="1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5">
    <w:name w:val="Light Grid Accent 3"/>
    <w:basedOn w:val="1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6">
    <w:name w:val="Light Grid Accent 4"/>
    <w:basedOn w:val="1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7">
    <w:name w:val="Light Grid Accent 5"/>
    <w:basedOn w:val="1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8">
    <w:name w:val="Light Grid Accent 6"/>
    <w:basedOn w:val="1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9">
    <w:name w:val="Medium Shading 1"/>
    <w:basedOn w:val="1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60">
    <w:name w:val="Medium Shading 1 Accent 1"/>
    <w:basedOn w:val="1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61">
    <w:name w:val="Medium Shading 1 Accent 2"/>
    <w:basedOn w:val="1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2">
    <w:name w:val="Medium Shading 1 Accent 3"/>
    <w:basedOn w:val="1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3">
    <w:name w:val="Medium Shading 1 Accent 4"/>
    <w:basedOn w:val="1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4">
    <w:name w:val="Medium Shading 1 Accent 5"/>
    <w:basedOn w:val="1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5">
    <w:name w:val="Medium Shading 1 Accent 6"/>
    <w:basedOn w:val="1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6">
    <w:name w:val="Medium Shading 2"/>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1"/>
    <w:basedOn w:val="1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2"/>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3"/>
    <w:basedOn w:val="1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4"/>
    <w:basedOn w:val="1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Shading 2 Accent 5"/>
    <w:basedOn w:val="1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2">
    <w:name w:val="Medium Shading 2 Accent 6"/>
    <w:basedOn w:val="1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3">
    <w:name w:val="Medium List 1"/>
    <w:basedOn w:val="1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4">
    <w:name w:val="Medium List 1 Accent 1"/>
    <w:basedOn w:val="1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5">
    <w:name w:val="Medium List 1 Accent 2"/>
    <w:basedOn w:val="1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6">
    <w:name w:val="Medium List 1 Accent 3"/>
    <w:basedOn w:val="1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7">
    <w:name w:val="Medium List 1 Accent 4"/>
    <w:basedOn w:val="1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8">
    <w:name w:val="Medium List 1 Accent 5"/>
    <w:basedOn w:val="1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9">
    <w:name w:val="Medium List 1 Accent 6"/>
    <w:basedOn w:val="1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80">
    <w:name w:val="Medium List 2"/>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1"/>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2"/>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3"/>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4"/>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List 2 Accent 5"/>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6">
    <w:name w:val="Medium List 2 Accent 6"/>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7">
    <w:name w:val="Medium Grid 1"/>
    <w:basedOn w:val="1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8">
    <w:name w:val="Medium Grid 1 Accent 1"/>
    <w:basedOn w:val="1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9">
    <w:name w:val="Medium Grid 1 Accent 2"/>
    <w:basedOn w:val="1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90">
    <w:name w:val="Medium Grid 1 Accent 3"/>
    <w:basedOn w:val="1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91">
    <w:name w:val="Medium Grid 1 Accent 4"/>
    <w:basedOn w:val="1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2">
    <w:name w:val="Medium Grid 1 Accent 5"/>
    <w:basedOn w:val="1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3">
    <w:name w:val="Medium Grid 1 Accent 6"/>
    <w:basedOn w:val="1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4">
    <w:name w:val="Medium Grid 2"/>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5">
    <w:name w:val="Medium Grid 2 Accent 1"/>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6">
    <w:name w:val="Medium Grid 2 Accent 2"/>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7">
    <w:name w:val="Medium Grid 2 Accent 3"/>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8">
    <w:name w:val="Medium Grid 2 Accent 4"/>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9">
    <w:name w:val="Medium Grid 2 Accent 5"/>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100">
    <w:name w:val="Medium Grid 2 Accent 6"/>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101">
    <w:name w:val="Medium Grid 3"/>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2">
    <w:name w:val="Medium Grid 3 Accent 1"/>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3">
    <w:name w:val="Medium Grid 3 Accent 2"/>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4">
    <w:name w:val="Medium Grid 3 Accent 3"/>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5">
    <w:name w:val="Medium Grid 3 Accent 4"/>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6">
    <w:name w:val="Medium Grid 3 Accent 5"/>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7">
    <w:name w:val="Medium Grid 3 Accent 6"/>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8">
    <w:name w:val="Dark List"/>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9">
    <w:name w:val="Dark List Accent 1"/>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10">
    <w:name w:val="Dark List Accent 2"/>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11">
    <w:name w:val="Dark List Accent 3"/>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2">
    <w:name w:val="Dark List Accent 4"/>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3">
    <w:name w:val="Dark List Accent 5"/>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4">
    <w:name w:val="Dark List Accent 6"/>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5">
    <w:name w:val="Colorful Shading"/>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1"/>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2"/>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3"/>
    <w:basedOn w:val="1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9">
    <w:name w:val="Colorful Shading Accent 4"/>
    <w:basedOn w:val="1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Shading Accent 5"/>
    <w:basedOn w:val="1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1">
    <w:name w:val="Colorful Shading Accent 6"/>
    <w:basedOn w:val="1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2">
    <w:name w:val="Colorful List"/>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3">
    <w:name w:val="Colorful List Accent 1"/>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4">
    <w:name w:val="Colorful List Accent 2"/>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5">
    <w:name w:val="Colorful List Accent 3"/>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6">
    <w:name w:val="Colorful List Accent 4"/>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7">
    <w:name w:val="Colorful List Accent 5"/>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8">
    <w:name w:val="Colorful List Accent 6"/>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9">
    <w:name w:val="Colorful Grid"/>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30">
    <w:name w:val="Colorful Grid Accent 1"/>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31">
    <w:name w:val="Colorful Grid Accent 2"/>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2">
    <w:name w:val="Colorful Grid Accent 3"/>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3">
    <w:name w:val="Colorful Grid Accent 4"/>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4">
    <w:name w:val="Colorful Grid Accent 5"/>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5">
    <w:name w:val="Colorful Grid Accent 6"/>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136">
    <w:name w:val="Zaglavlje Char"/>
    <w:basedOn w:val="11"/>
    <w:link w:val="19"/>
    <w:qFormat/>
    <w:uiPriority w:val="99"/>
  </w:style>
  <w:style w:type="character" w:customStyle="1" w:styleId="137">
    <w:name w:val="Podnožje Char"/>
    <w:basedOn w:val="11"/>
    <w:link w:val="18"/>
    <w:qFormat/>
    <w:uiPriority w:val="99"/>
  </w:style>
  <w:style w:type="paragraph" w:styleId="138">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9">
    <w:name w:val="Naslov 1 Char"/>
    <w:basedOn w:val="11"/>
    <w:link w:val="2"/>
    <w:qFormat/>
    <w:uiPriority w:val="9"/>
    <w:rPr>
      <w:rFonts w:asciiTheme="majorHAnsi" w:hAnsiTheme="majorHAnsi" w:eastAsiaTheme="majorEastAsia" w:cstheme="majorBidi"/>
      <w:b/>
      <w:bCs/>
      <w:color w:val="376092" w:themeColor="accent1" w:themeShade="BF"/>
      <w:sz w:val="28"/>
      <w:szCs w:val="28"/>
    </w:rPr>
  </w:style>
  <w:style w:type="character" w:customStyle="1" w:styleId="140">
    <w:name w:val="Naslov 2 Char"/>
    <w:basedOn w:val="11"/>
    <w:link w:val="3"/>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1">
    <w:name w:val="Naslov 3 Char"/>
    <w:basedOn w:val="11"/>
    <w:link w:val="4"/>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2">
    <w:name w:val="Naslov Char"/>
    <w:basedOn w:val="11"/>
    <w:link w:val="37"/>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3">
    <w:name w:val="Podnaslov Char"/>
    <w:basedOn w:val="11"/>
    <w:link w:val="35"/>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4">
    <w:name w:val="List Paragraph"/>
    <w:basedOn w:val="1"/>
    <w:qFormat/>
    <w:uiPriority w:val="34"/>
    <w:pPr>
      <w:ind w:left="720"/>
      <w:contextualSpacing/>
    </w:pPr>
  </w:style>
  <w:style w:type="character" w:customStyle="1" w:styleId="145">
    <w:name w:val="Tijelo teksta Char"/>
    <w:basedOn w:val="11"/>
    <w:link w:val="13"/>
    <w:qFormat/>
    <w:uiPriority w:val="99"/>
  </w:style>
  <w:style w:type="character" w:customStyle="1" w:styleId="146">
    <w:name w:val="Tijelo teksta 2 Char"/>
    <w:basedOn w:val="11"/>
    <w:link w:val="14"/>
    <w:qFormat/>
    <w:uiPriority w:val="99"/>
  </w:style>
  <w:style w:type="character" w:customStyle="1" w:styleId="147">
    <w:name w:val="Tijelo teksta 3 Char"/>
    <w:basedOn w:val="11"/>
    <w:link w:val="15"/>
    <w:uiPriority w:val="99"/>
    <w:rPr>
      <w:sz w:val="16"/>
      <w:szCs w:val="16"/>
    </w:rPr>
  </w:style>
  <w:style w:type="character" w:customStyle="1" w:styleId="148">
    <w:name w:val="Tekst makronaredbe Char"/>
    <w:basedOn w:val="11"/>
    <w:link w:val="32"/>
    <w:uiPriority w:val="99"/>
    <w:rPr>
      <w:rFonts w:ascii="Courier" w:hAnsi="Courier"/>
      <w:sz w:val="20"/>
      <w:szCs w:val="20"/>
    </w:rPr>
  </w:style>
  <w:style w:type="paragraph" w:styleId="149">
    <w:name w:val="Quote"/>
    <w:basedOn w:val="1"/>
    <w:next w:val="1"/>
    <w:link w:val="150"/>
    <w:qFormat/>
    <w:uiPriority w:val="29"/>
    <w:rPr>
      <w:i/>
      <w:iCs/>
      <w:color w:val="000000" w:themeColor="text1"/>
      <w14:textFill>
        <w14:solidFill>
          <w14:schemeClr w14:val="tx1"/>
        </w14:solidFill>
      </w14:textFill>
    </w:rPr>
  </w:style>
  <w:style w:type="character" w:customStyle="1" w:styleId="150">
    <w:name w:val="Citat Char"/>
    <w:basedOn w:val="11"/>
    <w:link w:val="149"/>
    <w:uiPriority w:val="29"/>
    <w:rPr>
      <w:i/>
      <w:iCs/>
      <w:color w:val="000000" w:themeColor="text1"/>
      <w14:textFill>
        <w14:solidFill>
          <w14:schemeClr w14:val="tx1"/>
        </w14:solidFill>
      </w14:textFill>
    </w:rPr>
  </w:style>
  <w:style w:type="character" w:customStyle="1" w:styleId="151">
    <w:name w:val="Naslov 4 Char"/>
    <w:basedOn w:val="11"/>
    <w:link w:val="5"/>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2">
    <w:name w:val="Naslov 5 Char"/>
    <w:basedOn w:val="11"/>
    <w:link w:val="6"/>
    <w:semiHidden/>
    <w:uiPriority w:val="9"/>
    <w:rPr>
      <w:rFonts w:asciiTheme="majorHAnsi" w:hAnsiTheme="majorHAnsi" w:eastAsiaTheme="majorEastAsia" w:cstheme="majorBidi"/>
      <w:color w:val="254061" w:themeColor="accent1" w:themeShade="80"/>
    </w:rPr>
  </w:style>
  <w:style w:type="character" w:customStyle="1" w:styleId="153">
    <w:name w:val="Naslov 6 Char"/>
    <w:basedOn w:val="11"/>
    <w:link w:val="7"/>
    <w:semiHidden/>
    <w:uiPriority w:val="9"/>
    <w:rPr>
      <w:rFonts w:asciiTheme="majorHAnsi" w:hAnsiTheme="majorHAnsi" w:eastAsiaTheme="majorEastAsia" w:cstheme="majorBidi"/>
      <w:i/>
      <w:iCs/>
      <w:color w:val="254061" w:themeColor="accent1" w:themeShade="80"/>
    </w:rPr>
  </w:style>
  <w:style w:type="character" w:customStyle="1" w:styleId="154">
    <w:name w:val="Naslov 7 Char"/>
    <w:basedOn w:val="11"/>
    <w:link w:val="8"/>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5">
    <w:name w:val="Naslov 8 Char"/>
    <w:basedOn w:val="11"/>
    <w:link w:val="9"/>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6">
    <w:name w:val="Naslov 9 Char"/>
    <w:basedOn w:val="11"/>
    <w:link w:val="10"/>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7">
    <w:name w:val="Intense Quote"/>
    <w:basedOn w:val="1"/>
    <w:next w:val="1"/>
    <w:link w:val="158"/>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8">
    <w:name w:val="Naglašen citat Char"/>
    <w:basedOn w:val="11"/>
    <w:link w:val="157"/>
    <w:uiPriority w:val="30"/>
    <w:rPr>
      <w:b/>
      <w:bCs/>
      <w:i/>
      <w:iCs/>
      <w:color w:val="4F81BD" w:themeColor="accent1"/>
      <w14:textFill>
        <w14:solidFill>
          <w14:schemeClr w14:val="accent1"/>
        </w14:solidFill>
      </w14:textFill>
    </w:rPr>
  </w:style>
  <w:style w:type="character" w:customStyle="1" w:styleId="159">
    <w:name w:val="Subtle Emphasis"/>
    <w:basedOn w:val="11"/>
    <w:qFormat/>
    <w:uiPriority w:val="19"/>
    <w:rPr>
      <w:i/>
      <w:iCs/>
      <w:color w:val="808080" w:themeColor="text1" w:themeTint="80"/>
      <w14:textFill>
        <w14:solidFill>
          <w14:schemeClr w14:val="tx1">
            <w14:lumMod w14:val="50000"/>
            <w14:lumOff w14:val="50000"/>
          </w14:schemeClr>
        </w14:solidFill>
      </w14:textFill>
    </w:rPr>
  </w:style>
  <w:style w:type="character" w:customStyle="1" w:styleId="160">
    <w:name w:val="Intense Emphasis"/>
    <w:basedOn w:val="11"/>
    <w:qFormat/>
    <w:uiPriority w:val="21"/>
    <w:rPr>
      <w:b/>
      <w:bCs/>
      <w:i/>
      <w:iCs/>
      <w:color w:val="4F81BD" w:themeColor="accent1"/>
      <w14:textFill>
        <w14:solidFill>
          <w14:schemeClr w14:val="accent1"/>
        </w14:solidFill>
      </w14:textFill>
    </w:rPr>
  </w:style>
  <w:style w:type="character" w:customStyle="1" w:styleId="161">
    <w:name w:val="Subtle Reference"/>
    <w:basedOn w:val="11"/>
    <w:qFormat/>
    <w:uiPriority w:val="31"/>
    <w:rPr>
      <w:smallCaps/>
      <w:color w:val="C0504D" w:themeColor="accent2"/>
      <w:u w:val="single"/>
      <w14:textFill>
        <w14:solidFill>
          <w14:schemeClr w14:val="accent2"/>
        </w14:solidFill>
      </w14:textFill>
    </w:rPr>
  </w:style>
  <w:style w:type="character" w:customStyle="1" w:styleId="162">
    <w:name w:val="Intense Reference"/>
    <w:basedOn w:val="11"/>
    <w:qFormat/>
    <w:uiPriority w:val="32"/>
    <w:rPr>
      <w:b/>
      <w:bCs/>
      <w:smallCaps/>
      <w:color w:val="C0504D" w:themeColor="accent2"/>
      <w:spacing w:val="5"/>
      <w:u w:val="single"/>
      <w14:textFill>
        <w14:solidFill>
          <w14:schemeClr w14:val="accent2"/>
        </w14:solidFill>
      </w14:textFill>
    </w:rPr>
  </w:style>
  <w:style w:type="character" w:customStyle="1" w:styleId="163">
    <w:name w:val="Book Title"/>
    <w:basedOn w:val="11"/>
    <w:qFormat/>
    <w:uiPriority w:val="33"/>
    <w:rPr>
      <w:b/>
      <w:bCs/>
      <w:smallCaps/>
      <w:spacing w:val="5"/>
    </w:rPr>
  </w:style>
  <w:style w:type="paragraph" w:customStyle="1" w:styleId="164">
    <w:name w:val="TOC Heading"/>
    <w:basedOn w:val="2"/>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Template>
  <Pages>7</Pages>
  <Words>2549</Words>
  <Characters>15147</Characters>
  <Lines>125</Lines>
  <Paragraphs>35</Paragraphs>
  <TotalTime>21</TotalTime>
  <ScaleCrop>false</ScaleCrop>
  <LinksUpToDate>false</LinksUpToDate>
  <CharactersWithSpaces>17599</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2026-09-28T05:36:00Z</dcterms:created>
  <dc:creator>python-docx</dc:creator>
  <dc:description>generated by python-docx</dc:description>
  <cp:lastModifiedBy>Ivana Bošnjaković</cp:lastModifiedBy>
  <cp:lastPrinted>2026-10-01T10:22:24Z</cp:lastPrinted>
  <dcterms:modified xsi:type="dcterms:W3CDTF">2026-10-01T10:27:49Z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eyJoZGlkIjoiMDhhNzI5MzIzYWNjM2RlMmY2YWZjZTNiZGU4ZGNhODUiLCJ1c2VySWQiOiIzNzI4NTU0MjQ0NjUxIn0=</vt:lpwstr>
  </property>
  <property fmtid="{D5CDD505-2E9C-101B-9397-08002B2CF9AE}" pid="3" name="KSOProductBuildVer">
    <vt:lpwstr>1033-12.1.0.28485</vt:lpwstr>
  </property>
  <property fmtid="{D5CDD505-2E9C-101B-9397-08002B2CF9AE}" pid="4" name="ICV">
    <vt:lpwstr>2D3054ECE494411B89969DC1E950D7DF_12</vt:lpwstr>
  </property>
</Properties>
</file>